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CD79" w14:textId="0B6F4110" w:rsidR="00F221F0" w:rsidRDefault="00F221F0" w:rsidP="00F221F0">
      <w:pPr>
        <w:pStyle w:val="Heading1"/>
        <w:rPr>
          <w:b w:val="0"/>
          <w:bCs w:val="0"/>
          <w:color w:val="0070C0"/>
        </w:rPr>
      </w:pPr>
      <w:r w:rsidRPr="00F221F0">
        <w:rPr>
          <w:b w:val="0"/>
          <w:bCs w:val="0"/>
          <w:color w:val="0070C0"/>
        </w:rPr>
        <w:t>Best</w:t>
      </w:r>
      <w:r>
        <w:rPr>
          <w:b w:val="0"/>
          <w:bCs w:val="0"/>
          <w:color w:val="0070C0"/>
        </w:rPr>
        <w:t xml:space="preserve"> Practice Inclusive Recruitment</w:t>
      </w:r>
    </w:p>
    <w:p w14:paraId="461FB457" w14:textId="66B2E052" w:rsidR="00F221F0" w:rsidRDefault="00F221F0" w:rsidP="00F221F0">
      <w:pPr>
        <w:pStyle w:val="Heading2"/>
      </w:pPr>
      <w:r>
        <w:t>Resources</w:t>
      </w:r>
    </w:p>
    <w:p w14:paraId="7754953C" w14:textId="77777777" w:rsidR="00F221F0" w:rsidRPr="00F221F0" w:rsidRDefault="00F221F0" w:rsidP="00F221F0"/>
    <w:p w14:paraId="501560BD" w14:textId="7129ACD4" w:rsidR="00F221F0" w:rsidRDefault="00F221F0" w:rsidP="00F221F0">
      <w:pPr>
        <w:shd w:val="clear" w:color="auto" w:fill="FFFFFF"/>
        <w:spacing w:after="0" w:line="270" w:lineRule="atLeast"/>
        <w:ind w:right="120"/>
        <w:rPr>
          <w:color w:val="000000"/>
        </w:rPr>
      </w:pPr>
      <w:r w:rsidRPr="00F221F0">
        <w:t xml:space="preserve">University of Auckland </w:t>
      </w:r>
      <w:hyperlink r:id="rId7" w:tgtFrame="_blank" w:history="1">
        <w:r w:rsidRPr="00F221F0">
          <w:rPr>
            <w:rStyle w:val="Hyperlink"/>
            <w:color w:val="0000CC"/>
            <w:bdr w:val="none" w:sz="0" w:space="0" w:color="auto" w:frame="1"/>
          </w:rPr>
          <w:t>Recruitment, Selection and Appointment Policy </w:t>
        </w:r>
      </w:hyperlink>
      <w:r w:rsidRPr="00F221F0">
        <w:rPr>
          <w:color w:val="000000"/>
        </w:rPr>
        <w:t xml:space="preserve"> and associated policies and procedures</w:t>
      </w:r>
    </w:p>
    <w:p w14:paraId="66D83DD8" w14:textId="10C978FD" w:rsidR="00E21B16" w:rsidRDefault="00E21B16" w:rsidP="00F221F0">
      <w:pPr>
        <w:shd w:val="clear" w:color="auto" w:fill="FFFFFF"/>
        <w:spacing w:after="0" w:line="270" w:lineRule="atLeast"/>
        <w:ind w:right="120"/>
        <w:rPr>
          <w:color w:val="000000"/>
        </w:rPr>
      </w:pPr>
    </w:p>
    <w:p w14:paraId="1C333C82" w14:textId="6769DAEC" w:rsidR="00E21B16" w:rsidRDefault="00E21B16" w:rsidP="00F221F0">
      <w:pPr>
        <w:shd w:val="clear" w:color="auto" w:fill="FFFFFF"/>
        <w:spacing w:after="0" w:line="270" w:lineRule="atLeast"/>
        <w:ind w:right="120"/>
        <w:rPr>
          <w:color w:val="000000"/>
        </w:rPr>
      </w:pPr>
      <w:r>
        <w:rPr>
          <w:color w:val="000000"/>
        </w:rPr>
        <w:t xml:space="preserve">University of Auckland </w:t>
      </w:r>
      <w:hyperlink r:id="rId8" w:history="1">
        <w:r>
          <w:rPr>
            <w:rStyle w:val="Hyperlink"/>
          </w:rPr>
          <w:t>Equity in recruitment, selection and appointment</w:t>
        </w:r>
      </w:hyperlink>
    </w:p>
    <w:p w14:paraId="439C677A" w14:textId="77777777" w:rsidR="00E21B16" w:rsidRPr="00F221F0" w:rsidRDefault="00E21B16" w:rsidP="00F221F0">
      <w:pPr>
        <w:shd w:val="clear" w:color="auto" w:fill="FFFFFF"/>
        <w:spacing w:after="0" w:line="270" w:lineRule="atLeast"/>
        <w:ind w:right="120"/>
        <w:rPr>
          <w:color w:val="000000"/>
        </w:rPr>
      </w:pPr>
    </w:p>
    <w:p w14:paraId="3570F444" w14:textId="180C2386" w:rsidR="00F221F0" w:rsidRPr="00F221F0" w:rsidRDefault="00A37DA5" w:rsidP="00F221F0">
      <w:pPr>
        <w:spacing w:line="240" w:lineRule="auto"/>
      </w:pPr>
      <w:hyperlink r:id="rId9" w:history="1">
        <w:r w:rsidR="00F221F0" w:rsidRPr="00F221F0">
          <w:rPr>
            <w:rStyle w:val="Hyperlink"/>
          </w:rPr>
          <w:t xml:space="preserve">Recruitment Guidance NZ Public Service </w:t>
        </w:r>
      </w:hyperlink>
      <w:r w:rsidR="00F221F0">
        <w:t>Implementing the Gender Pay Principles and removing gender bias in recruitment processes.</w:t>
      </w:r>
    </w:p>
    <w:p w14:paraId="1AB3A33E" w14:textId="0FF3F32F" w:rsidR="00F221F0" w:rsidRPr="00F221F0" w:rsidRDefault="00A37DA5" w:rsidP="00F221F0">
      <w:pPr>
        <w:spacing w:line="240" w:lineRule="auto"/>
      </w:pPr>
      <w:hyperlink r:id="rId10" w:history="1">
        <w:r w:rsidR="00F221F0" w:rsidRPr="00F221F0">
          <w:rPr>
            <w:rStyle w:val="Hyperlink"/>
          </w:rPr>
          <w:t>Best Practice Gender Equity Recruitment Guidelines Universities Australia</w:t>
        </w:r>
      </w:hyperlink>
      <w:r w:rsidR="00F221F0" w:rsidRPr="00F221F0">
        <w:t xml:space="preserve"> </w:t>
      </w:r>
    </w:p>
    <w:p w14:paraId="48C84FFD" w14:textId="77777777" w:rsidR="008172DE" w:rsidRPr="00F221F0" w:rsidRDefault="00A37DA5" w:rsidP="00F221F0">
      <w:pPr>
        <w:spacing w:line="240" w:lineRule="auto"/>
      </w:pPr>
      <w:hyperlink r:id="rId11" w:history="1">
        <w:r w:rsidR="008172DE" w:rsidRPr="00F221F0">
          <w:rPr>
            <w:rStyle w:val="Hyperlink"/>
          </w:rPr>
          <w:t>Inclusive Recruitment Macquarie University</w:t>
        </w:r>
      </w:hyperlink>
    </w:p>
    <w:p w14:paraId="47B17686" w14:textId="6A77E1BC" w:rsidR="008172DE" w:rsidRPr="00F221F0" w:rsidRDefault="008172DE" w:rsidP="00F221F0">
      <w:pPr>
        <w:spacing w:line="240" w:lineRule="auto"/>
      </w:pPr>
      <w:r w:rsidRPr="00F221F0">
        <w:t>Understanding Unconscious Bias in Recruitment, Victoria University Wellington</w:t>
      </w:r>
      <w:r w:rsidR="00F221F0">
        <w:t>.</w:t>
      </w:r>
    </w:p>
    <w:p w14:paraId="33E90F32" w14:textId="0556B55A" w:rsidR="00F221F0" w:rsidRPr="00F7086A" w:rsidRDefault="00A37DA5" w:rsidP="00F221F0">
      <w:pPr>
        <w:spacing w:line="240" w:lineRule="auto"/>
        <w:rPr>
          <w:rFonts w:eastAsia="Times New Roman"/>
          <w:color w:val="auto"/>
          <w:spacing w:val="5"/>
          <w:lang w:eastAsia="en-NZ"/>
        </w:rPr>
      </w:pPr>
      <w:hyperlink r:id="rId12" w:history="1">
        <w:r w:rsidR="00F221F0" w:rsidRPr="00F221F0">
          <w:rPr>
            <w:rStyle w:val="Hyperlink"/>
          </w:rPr>
          <w:t>The Gender Sensitive University: A contradiction in terms?</w:t>
        </w:r>
      </w:hyperlink>
      <w:r w:rsidR="00F221F0" w:rsidRPr="00F221F0">
        <w:rPr>
          <w:rStyle w:val="Hyperlink"/>
        </w:rPr>
        <w:t xml:space="preserve"> </w:t>
      </w:r>
      <w:r w:rsidR="00F221F0" w:rsidRPr="00F7086A">
        <w:rPr>
          <w:rFonts w:eastAsia="Times New Roman"/>
          <w:color w:val="auto"/>
          <w:spacing w:val="6"/>
          <w:lang w:eastAsia="en-NZ"/>
        </w:rPr>
        <w:t>Ed</w:t>
      </w:r>
      <w:r w:rsidR="00F221F0" w:rsidRPr="00F221F0">
        <w:rPr>
          <w:rFonts w:eastAsia="Times New Roman"/>
          <w:color w:val="auto"/>
          <w:spacing w:val="6"/>
          <w:lang w:eastAsia="en-NZ"/>
        </w:rPr>
        <w:t xml:space="preserve">. Drew &amp; </w:t>
      </w:r>
      <w:r w:rsidR="00F221F0" w:rsidRPr="00F7086A">
        <w:rPr>
          <w:rFonts w:eastAsia="Times New Roman"/>
          <w:color w:val="auto"/>
          <w:spacing w:val="6"/>
          <w:lang w:eastAsia="en-NZ"/>
        </w:rPr>
        <w:t>Canavan</w:t>
      </w:r>
      <w:r w:rsidR="00F221F0" w:rsidRPr="00F221F0">
        <w:rPr>
          <w:rFonts w:eastAsia="Times New Roman"/>
          <w:color w:val="auto"/>
          <w:spacing w:val="6"/>
          <w:lang w:eastAsia="en-NZ"/>
        </w:rPr>
        <w:t xml:space="preserve">. </w:t>
      </w:r>
      <w:r w:rsidR="00F221F0" w:rsidRPr="00F7086A">
        <w:rPr>
          <w:rFonts w:eastAsia="Times New Roman"/>
          <w:color w:val="auto"/>
          <w:spacing w:val="5"/>
          <w:lang w:eastAsia="en-NZ"/>
        </w:rPr>
        <w:t>Routledge</w:t>
      </w:r>
      <w:r w:rsidR="00F221F0" w:rsidRPr="00F221F0">
        <w:rPr>
          <w:rFonts w:eastAsia="Times New Roman"/>
          <w:color w:val="auto"/>
          <w:spacing w:val="5"/>
          <w:lang w:eastAsia="en-NZ"/>
        </w:rPr>
        <w:t xml:space="preserve"> 2020</w:t>
      </w:r>
      <w:r w:rsidR="00F221F0">
        <w:rPr>
          <w:rFonts w:eastAsia="Times New Roman"/>
          <w:color w:val="auto"/>
          <w:spacing w:val="5"/>
          <w:lang w:eastAsia="en-NZ"/>
        </w:rPr>
        <w:t>.</w:t>
      </w:r>
    </w:p>
    <w:p w14:paraId="0EF8CF21" w14:textId="28289A77" w:rsidR="00F221F0" w:rsidRDefault="00A37DA5" w:rsidP="00F221F0">
      <w:pPr>
        <w:pStyle w:val="FootnoteText"/>
        <w:rPr>
          <w:sz w:val="22"/>
          <w:szCs w:val="22"/>
        </w:rPr>
      </w:pPr>
      <w:hyperlink r:id="rId13" w:history="1">
        <w:r w:rsidR="00F221F0" w:rsidRPr="00F221F0">
          <w:rPr>
            <w:rStyle w:val="Hyperlink"/>
            <w:sz w:val="22"/>
            <w:szCs w:val="22"/>
          </w:rPr>
          <w:t>Ohio State University Implicit Bias Resources</w:t>
        </w:r>
      </w:hyperlink>
      <w:r w:rsidR="00F221F0" w:rsidRPr="00F221F0">
        <w:rPr>
          <w:sz w:val="22"/>
          <w:szCs w:val="22"/>
        </w:rPr>
        <w:t xml:space="preserve"> </w:t>
      </w:r>
    </w:p>
    <w:p w14:paraId="38BA7E4E" w14:textId="77777777" w:rsidR="00F221F0" w:rsidRPr="00F221F0" w:rsidRDefault="00F221F0" w:rsidP="00F221F0">
      <w:pPr>
        <w:pStyle w:val="FootnoteText"/>
        <w:rPr>
          <w:sz w:val="22"/>
          <w:szCs w:val="22"/>
        </w:rPr>
      </w:pPr>
    </w:p>
    <w:p w14:paraId="2D82FA26" w14:textId="5BD33BBF" w:rsidR="00A43AAC" w:rsidRPr="00F221F0" w:rsidRDefault="00A37DA5" w:rsidP="00F221F0">
      <w:pPr>
        <w:spacing w:line="240" w:lineRule="auto"/>
      </w:pPr>
      <w:hyperlink r:id="rId14" w:history="1">
        <w:r w:rsidR="008172DE" w:rsidRPr="00F221F0">
          <w:rPr>
            <w:rStyle w:val="Hyperlink"/>
          </w:rPr>
          <w:t xml:space="preserve">University of Bristol UK Recruitment Guidance </w:t>
        </w:r>
      </w:hyperlink>
    </w:p>
    <w:p w14:paraId="235A123B" w14:textId="4B36D320" w:rsidR="00A43AAC" w:rsidRPr="00F221F0" w:rsidRDefault="00A37DA5" w:rsidP="00F221F0">
      <w:pPr>
        <w:spacing w:line="240" w:lineRule="auto"/>
      </w:pPr>
      <w:hyperlink r:id="rId15" w:history="1">
        <w:r w:rsidR="008172DE" w:rsidRPr="00F221F0">
          <w:rPr>
            <w:rStyle w:val="Hyperlink"/>
          </w:rPr>
          <w:t>Cornell University Best Practi</w:t>
        </w:r>
        <w:r w:rsidR="00C53320" w:rsidRPr="00F221F0">
          <w:rPr>
            <w:rStyle w:val="Hyperlink"/>
          </w:rPr>
          <w:t>c</w:t>
        </w:r>
        <w:r w:rsidR="008172DE" w:rsidRPr="00F221F0">
          <w:rPr>
            <w:rStyle w:val="Hyperlink"/>
          </w:rPr>
          <w:t>e Faculty Recruitment</w:t>
        </w:r>
      </w:hyperlink>
      <w:r w:rsidR="00A43AAC" w:rsidRPr="00F221F0">
        <w:t xml:space="preserve"> </w:t>
      </w:r>
    </w:p>
    <w:p w14:paraId="56AAF92F" w14:textId="56B51891" w:rsidR="00A43AAC" w:rsidRPr="00F221F0" w:rsidRDefault="00A37DA5" w:rsidP="00F221F0">
      <w:pPr>
        <w:spacing w:line="240" w:lineRule="auto"/>
      </w:pPr>
      <w:hyperlink r:id="rId16" w:history="1">
        <w:r w:rsidR="00C53320" w:rsidRPr="00F221F0">
          <w:rPr>
            <w:rStyle w:val="Hyperlink"/>
          </w:rPr>
          <w:t>Best practice recruitment Victorian Government</w:t>
        </w:r>
      </w:hyperlink>
    </w:p>
    <w:p w14:paraId="5731AFAF" w14:textId="2CD857B9" w:rsidR="00A43AAC" w:rsidRPr="00F221F0" w:rsidRDefault="00A43AAC" w:rsidP="00F221F0">
      <w:pPr>
        <w:spacing w:line="240" w:lineRule="auto"/>
      </w:pPr>
      <w:r w:rsidRPr="00F221F0">
        <w:t xml:space="preserve"> </w:t>
      </w:r>
    </w:p>
    <w:sectPr w:rsidR="00A43AAC" w:rsidRPr="00F221F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0B6AE" w14:textId="77777777" w:rsidR="001F6800" w:rsidRDefault="001F6800" w:rsidP="001F6800">
      <w:pPr>
        <w:spacing w:after="0" w:line="240" w:lineRule="auto"/>
      </w:pPr>
      <w:r>
        <w:separator/>
      </w:r>
    </w:p>
  </w:endnote>
  <w:endnote w:type="continuationSeparator" w:id="0">
    <w:p w14:paraId="6E11656F" w14:textId="77777777" w:rsidR="001F6800" w:rsidRDefault="001F6800" w:rsidP="001F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35FE6" w14:textId="32FEE0DE" w:rsidR="001F6800" w:rsidRDefault="001F6800">
    <w:pPr>
      <w:pStyle w:val="Footer"/>
    </w:pPr>
    <w:r>
      <w:t>University of Auckland Equity Office May 2021</w:t>
    </w:r>
  </w:p>
  <w:p w14:paraId="339B5BCB" w14:textId="77777777" w:rsidR="001F6800" w:rsidRDefault="001F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658C0" w14:textId="77777777" w:rsidR="001F6800" w:rsidRDefault="001F6800" w:rsidP="001F6800">
      <w:pPr>
        <w:spacing w:after="0" w:line="240" w:lineRule="auto"/>
      </w:pPr>
      <w:r>
        <w:separator/>
      </w:r>
    </w:p>
  </w:footnote>
  <w:footnote w:type="continuationSeparator" w:id="0">
    <w:p w14:paraId="62EF612E" w14:textId="77777777" w:rsidR="001F6800" w:rsidRDefault="001F6800" w:rsidP="001F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D5C36" w14:textId="4EE4EC79" w:rsidR="001F6800" w:rsidRDefault="00A37DA5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10103D3" wp14:editId="2EFC9F87">
          <wp:extent cx="1821600" cy="576000"/>
          <wp:effectExtent l="0" t="0" r="7620" b="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9F8BC48A-0D8B-4F6A-A869-700B460006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9F8BC48A-0D8B-4F6A-A869-700B460006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1DA0"/>
    <w:multiLevelType w:val="hybridMultilevel"/>
    <w:tmpl w:val="C71AA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B217CC"/>
    <w:multiLevelType w:val="multilevel"/>
    <w:tmpl w:val="499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C47EE"/>
    <w:multiLevelType w:val="hybridMultilevel"/>
    <w:tmpl w:val="4D4E0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66756"/>
    <w:multiLevelType w:val="hybridMultilevel"/>
    <w:tmpl w:val="36C46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00"/>
    <w:rsid w:val="00005F12"/>
    <w:rsid w:val="000104F1"/>
    <w:rsid w:val="00012A35"/>
    <w:rsid w:val="000136D5"/>
    <w:rsid w:val="000432FC"/>
    <w:rsid w:val="000534D5"/>
    <w:rsid w:val="0005498E"/>
    <w:rsid w:val="00063B17"/>
    <w:rsid w:val="00082EE3"/>
    <w:rsid w:val="00092D0F"/>
    <w:rsid w:val="000B071C"/>
    <w:rsid w:val="000B2509"/>
    <w:rsid w:val="000B3248"/>
    <w:rsid w:val="000C007F"/>
    <w:rsid w:val="000C4DCA"/>
    <w:rsid w:val="000D6462"/>
    <w:rsid w:val="000E0347"/>
    <w:rsid w:val="000E3D5F"/>
    <w:rsid w:val="000E4FDB"/>
    <w:rsid w:val="00102F38"/>
    <w:rsid w:val="001060BD"/>
    <w:rsid w:val="00120F00"/>
    <w:rsid w:val="00121A2E"/>
    <w:rsid w:val="00123C88"/>
    <w:rsid w:val="00125C79"/>
    <w:rsid w:val="00126DBB"/>
    <w:rsid w:val="001411FD"/>
    <w:rsid w:val="00141B1C"/>
    <w:rsid w:val="00142A01"/>
    <w:rsid w:val="00151E7F"/>
    <w:rsid w:val="00154B49"/>
    <w:rsid w:val="001658CD"/>
    <w:rsid w:val="0017085B"/>
    <w:rsid w:val="001709FA"/>
    <w:rsid w:val="00172323"/>
    <w:rsid w:val="001814E9"/>
    <w:rsid w:val="00182BB4"/>
    <w:rsid w:val="001834BF"/>
    <w:rsid w:val="001850AC"/>
    <w:rsid w:val="00186152"/>
    <w:rsid w:val="001866B9"/>
    <w:rsid w:val="001866D2"/>
    <w:rsid w:val="001904C2"/>
    <w:rsid w:val="001A1797"/>
    <w:rsid w:val="001B2313"/>
    <w:rsid w:val="001E2229"/>
    <w:rsid w:val="001E404C"/>
    <w:rsid w:val="001F0E2A"/>
    <w:rsid w:val="001F25BC"/>
    <w:rsid w:val="001F2AC3"/>
    <w:rsid w:val="001F59B4"/>
    <w:rsid w:val="001F6800"/>
    <w:rsid w:val="001F7CA1"/>
    <w:rsid w:val="00203687"/>
    <w:rsid w:val="00207107"/>
    <w:rsid w:val="00207CF0"/>
    <w:rsid w:val="002136E0"/>
    <w:rsid w:val="00220C2C"/>
    <w:rsid w:val="00221235"/>
    <w:rsid w:val="00223289"/>
    <w:rsid w:val="002235FE"/>
    <w:rsid w:val="00224E64"/>
    <w:rsid w:val="00227C37"/>
    <w:rsid w:val="002344C2"/>
    <w:rsid w:val="00241C4F"/>
    <w:rsid w:val="00245D57"/>
    <w:rsid w:val="0024796F"/>
    <w:rsid w:val="00257BDF"/>
    <w:rsid w:val="002608EE"/>
    <w:rsid w:val="00277D15"/>
    <w:rsid w:val="00281B9D"/>
    <w:rsid w:val="0029318F"/>
    <w:rsid w:val="00294736"/>
    <w:rsid w:val="002A528E"/>
    <w:rsid w:val="002B29D5"/>
    <w:rsid w:val="002B5FB9"/>
    <w:rsid w:val="002C74B9"/>
    <w:rsid w:val="002D3229"/>
    <w:rsid w:val="002D3CB0"/>
    <w:rsid w:val="002D4873"/>
    <w:rsid w:val="002D6DB2"/>
    <w:rsid w:val="002E63ED"/>
    <w:rsid w:val="002E68CB"/>
    <w:rsid w:val="002F5606"/>
    <w:rsid w:val="00301FC2"/>
    <w:rsid w:val="00307315"/>
    <w:rsid w:val="00314A6D"/>
    <w:rsid w:val="0032195F"/>
    <w:rsid w:val="00336725"/>
    <w:rsid w:val="003429CA"/>
    <w:rsid w:val="003430AB"/>
    <w:rsid w:val="003447BB"/>
    <w:rsid w:val="003511CD"/>
    <w:rsid w:val="00351598"/>
    <w:rsid w:val="00355614"/>
    <w:rsid w:val="00361D19"/>
    <w:rsid w:val="00362A82"/>
    <w:rsid w:val="00372B29"/>
    <w:rsid w:val="00384F58"/>
    <w:rsid w:val="003866E5"/>
    <w:rsid w:val="003911A5"/>
    <w:rsid w:val="0039493F"/>
    <w:rsid w:val="00395624"/>
    <w:rsid w:val="003A3C98"/>
    <w:rsid w:val="003B186E"/>
    <w:rsid w:val="003B6C2F"/>
    <w:rsid w:val="003C1E66"/>
    <w:rsid w:val="003C2BC9"/>
    <w:rsid w:val="003C66B4"/>
    <w:rsid w:val="003D46B2"/>
    <w:rsid w:val="003D77D4"/>
    <w:rsid w:val="003E12F5"/>
    <w:rsid w:val="003E46BC"/>
    <w:rsid w:val="003E47E6"/>
    <w:rsid w:val="003E5036"/>
    <w:rsid w:val="003E7FE0"/>
    <w:rsid w:val="003F4A25"/>
    <w:rsid w:val="00403504"/>
    <w:rsid w:val="004038AA"/>
    <w:rsid w:val="004051DD"/>
    <w:rsid w:val="00414B51"/>
    <w:rsid w:val="00425C9C"/>
    <w:rsid w:val="0044226D"/>
    <w:rsid w:val="00451CED"/>
    <w:rsid w:val="00467D15"/>
    <w:rsid w:val="00475C10"/>
    <w:rsid w:val="00476E57"/>
    <w:rsid w:val="00480C41"/>
    <w:rsid w:val="00481619"/>
    <w:rsid w:val="00487232"/>
    <w:rsid w:val="004872B0"/>
    <w:rsid w:val="004933DA"/>
    <w:rsid w:val="00496DB8"/>
    <w:rsid w:val="004A2AD3"/>
    <w:rsid w:val="004B2015"/>
    <w:rsid w:val="004C54E2"/>
    <w:rsid w:val="004C7C26"/>
    <w:rsid w:val="004D031D"/>
    <w:rsid w:val="004D06D8"/>
    <w:rsid w:val="004D2FDD"/>
    <w:rsid w:val="004D3F36"/>
    <w:rsid w:val="004D5222"/>
    <w:rsid w:val="004D788B"/>
    <w:rsid w:val="004E1774"/>
    <w:rsid w:val="004F24D5"/>
    <w:rsid w:val="004F39AD"/>
    <w:rsid w:val="004F44F5"/>
    <w:rsid w:val="0050155A"/>
    <w:rsid w:val="00507025"/>
    <w:rsid w:val="005239E3"/>
    <w:rsid w:val="0052451E"/>
    <w:rsid w:val="00527621"/>
    <w:rsid w:val="0053230E"/>
    <w:rsid w:val="00532C77"/>
    <w:rsid w:val="00537A6A"/>
    <w:rsid w:val="00541CBA"/>
    <w:rsid w:val="00541E13"/>
    <w:rsid w:val="00544694"/>
    <w:rsid w:val="00551112"/>
    <w:rsid w:val="00560ABD"/>
    <w:rsid w:val="00564D82"/>
    <w:rsid w:val="00566595"/>
    <w:rsid w:val="00567504"/>
    <w:rsid w:val="00570584"/>
    <w:rsid w:val="0057619F"/>
    <w:rsid w:val="00584D48"/>
    <w:rsid w:val="005A72ED"/>
    <w:rsid w:val="005B3AF5"/>
    <w:rsid w:val="005C45C8"/>
    <w:rsid w:val="005C50CF"/>
    <w:rsid w:val="005E00F9"/>
    <w:rsid w:val="005E77CA"/>
    <w:rsid w:val="005F6F5F"/>
    <w:rsid w:val="00625A5B"/>
    <w:rsid w:val="00626CC3"/>
    <w:rsid w:val="00637521"/>
    <w:rsid w:val="00655E8C"/>
    <w:rsid w:val="00660871"/>
    <w:rsid w:val="00665848"/>
    <w:rsid w:val="00666629"/>
    <w:rsid w:val="00675CDE"/>
    <w:rsid w:val="00685C01"/>
    <w:rsid w:val="00687FA2"/>
    <w:rsid w:val="00697D36"/>
    <w:rsid w:val="006C4451"/>
    <w:rsid w:val="006C4692"/>
    <w:rsid w:val="006D487B"/>
    <w:rsid w:val="006E5B6A"/>
    <w:rsid w:val="006F1B37"/>
    <w:rsid w:val="006F6DDC"/>
    <w:rsid w:val="00704A72"/>
    <w:rsid w:val="00707C57"/>
    <w:rsid w:val="00714FE0"/>
    <w:rsid w:val="00722EC8"/>
    <w:rsid w:val="00724D70"/>
    <w:rsid w:val="00731ECB"/>
    <w:rsid w:val="00753D94"/>
    <w:rsid w:val="00784BCC"/>
    <w:rsid w:val="0078577B"/>
    <w:rsid w:val="00786C59"/>
    <w:rsid w:val="00787F13"/>
    <w:rsid w:val="007933CE"/>
    <w:rsid w:val="007C68F4"/>
    <w:rsid w:val="007D20C4"/>
    <w:rsid w:val="007D5D14"/>
    <w:rsid w:val="007E010D"/>
    <w:rsid w:val="007F49F5"/>
    <w:rsid w:val="00812C1F"/>
    <w:rsid w:val="008172DE"/>
    <w:rsid w:val="008223BF"/>
    <w:rsid w:val="008424ED"/>
    <w:rsid w:val="00870B50"/>
    <w:rsid w:val="00874408"/>
    <w:rsid w:val="00874F97"/>
    <w:rsid w:val="00877FD9"/>
    <w:rsid w:val="008810B0"/>
    <w:rsid w:val="00882FAE"/>
    <w:rsid w:val="008866FB"/>
    <w:rsid w:val="00887D23"/>
    <w:rsid w:val="008915A2"/>
    <w:rsid w:val="008A2F6D"/>
    <w:rsid w:val="008D2337"/>
    <w:rsid w:val="008D6FC7"/>
    <w:rsid w:val="008D7A2D"/>
    <w:rsid w:val="008E140D"/>
    <w:rsid w:val="008E3282"/>
    <w:rsid w:val="008F1DF8"/>
    <w:rsid w:val="008F5E40"/>
    <w:rsid w:val="008F64F1"/>
    <w:rsid w:val="009260DF"/>
    <w:rsid w:val="00930B59"/>
    <w:rsid w:val="00935B26"/>
    <w:rsid w:val="00937654"/>
    <w:rsid w:val="00942CF1"/>
    <w:rsid w:val="0094503D"/>
    <w:rsid w:val="0094682F"/>
    <w:rsid w:val="00956837"/>
    <w:rsid w:val="00986EC9"/>
    <w:rsid w:val="009A02D4"/>
    <w:rsid w:val="009A0A32"/>
    <w:rsid w:val="009A2557"/>
    <w:rsid w:val="009A6FEC"/>
    <w:rsid w:val="009C6981"/>
    <w:rsid w:val="009D2104"/>
    <w:rsid w:val="009D38DB"/>
    <w:rsid w:val="009D5466"/>
    <w:rsid w:val="009D6CE1"/>
    <w:rsid w:val="009E2B0D"/>
    <w:rsid w:val="009E318E"/>
    <w:rsid w:val="009E45E3"/>
    <w:rsid w:val="00A0045E"/>
    <w:rsid w:val="00A04529"/>
    <w:rsid w:val="00A12F11"/>
    <w:rsid w:val="00A16BF3"/>
    <w:rsid w:val="00A2734D"/>
    <w:rsid w:val="00A30469"/>
    <w:rsid w:val="00A37DA5"/>
    <w:rsid w:val="00A43AAC"/>
    <w:rsid w:val="00A50AD3"/>
    <w:rsid w:val="00A57850"/>
    <w:rsid w:val="00A66377"/>
    <w:rsid w:val="00A732ED"/>
    <w:rsid w:val="00A74159"/>
    <w:rsid w:val="00A74C00"/>
    <w:rsid w:val="00A75362"/>
    <w:rsid w:val="00A84A11"/>
    <w:rsid w:val="00A91887"/>
    <w:rsid w:val="00AA35D1"/>
    <w:rsid w:val="00AB3CFC"/>
    <w:rsid w:val="00AB7424"/>
    <w:rsid w:val="00AC27DA"/>
    <w:rsid w:val="00AD0AA5"/>
    <w:rsid w:val="00AD79A7"/>
    <w:rsid w:val="00AE77EA"/>
    <w:rsid w:val="00AF1721"/>
    <w:rsid w:val="00AF176D"/>
    <w:rsid w:val="00AF39CE"/>
    <w:rsid w:val="00B0024F"/>
    <w:rsid w:val="00B013DD"/>
    <w:rsid w:val="00B20867"/>
    <w:rsid w:val="00B20FBB"/>
    <w:rsid w:val="00B25808"/>
    <w:rsid w:val="00B25A50"/>
    <w:rsid w:val="00B374B6"/>
    <w:rsid w:val="00B57E3D"/>
    <w:rsid w:val="00B6057C"/>
    <w:rsid w:val="00B674A2"/>
    <w:rsid w:val="00B973EA"/>
    <w:rsid w:val="00BA2820"/>
    <w:rsid w:val="00BA3B06"/>
    <w:rsid w:val="00BA67F1"/>
    <w:rsid w:val="00BC130E"/>
    <w:rsid w:val="00BC6F7B"/>
    <w:rsid w:val="00BD39BF"/>
    <w:rsid w:val="00BD7806"/>
    <w:rsid w:val="00BE0CDB"/>
    <w:rsid w:val="00BE2260"/>
    <w:rsid w:val="00BE2E8B"/>
    <w:rsid w:val="00BF003E"/>
    <w:rsid w:val="00C12E40"/>
    <w:rsid w:val="00C30148"/>
    <w:rsid w:val="00C35844"/>
    <w:rsid w:val="00C513CA"/>
    <w:rsid w:val="00C53320"/>
    <w:rsid w:val="00C665EC"/>
    <w:rsid w:val="00C90362"/>
    <w:rsid w:val="00C97C20"/>
    <w:rsid w:val="00CA2ECB"/>
    <w:rsid w:val="00CA3A8C"/>
    <w:rsid w:val="00CB0322"/>
    <w:rsid w:val="00CC091E"/>
    <w:rsid w:val="00CD0E38"/>
    <w:rsid w:val="00CD2ABA"/>
    <w:rsid w:val="00CE178D"/>
    <w:rsid w:val="00CE4578"/>
    <w:rsid w:val="00CF24D0"/>
    <w:rsid w:val="00D00723"/>
    <w:rsid w:val="00D03F66"/>
    <w:rsid w:val="00D04450"/>
    <w:rsid w:val="00D15AB6"/>
    <w:rsid w:val="00D20038"/>
    <w:rsid w:val="00D2637B"/>
    <w:rsid w:val="00D60FC9"/>
    <w:rsid w:val="00D6293C"/>
    <w:rsid w:val="00D651EF"/>
    <w:rsid w:val="00D70232"/>
    <w:rsid w:val="00D719E6"/>
    <w:rsid w:val="00D75698"/>
    <w:rsid w:val="00D8367A"/>
    <w:rsid w:val="00D94AD1"/>
    <w:rsid w:val="00DA05EA"/>
    <w:rsid w:val="00DA277A"/>
    <w:rsid w:val="00DB2C55"/>
    <w:rsid w:val="00DB35FD"/>
    <w:rsid w:val="00DB3DB1"/>
    <w:rsid w:val="00DC45CD"/>
    <w:rsid w:val="00DD15FE"/>
    <w:rsid w:val="00DD1DD8"/>
    <w:rsid w:val="00DD518B"/>
    <w:rsid w:val="00DD7E16"/>
    <w:rsid w:val="00DE114B"/>
    <w:rsid w:val="00DE1A89"/>
    <w:rsid w:val="00DE2427"/>
    <w:rsid w:val="00E1477D"/>
    <w:rsid w:val="00E21B16"/>
    <w:rsid w:val="00E26009"/>
    <w:rsid w:val="00E34DCF"/>
    <w:rsid w:val="00E431D4"/>
    <w:rsid w:val="00E52466"/>
    <w:rsid w:val="00E71C91"/>
    <w:rsid w:val="00E76426"/>
    <w:rsid w:val="00E85EA0"/>
    <w:rsid w:val="00EA0DB2"/>
    <w:rsid w:val="00EA4319"/>
    <w:rsid w:val="00EA5FCA"/>
    <w:rsid w:val="00EB1745"/>
    <w:rsid w:val="00EB2180"/>
    <w:rsid w:val="00EB2933"/>
    <w:rsid w:val="00EB4FA2"/>
    <w:rsid w:val="00EC30CE"/>
    <w:rsid w:val="00EC6CAE"/>
    <w:rsid w:val="00ED7E78"/>
    <w:rsid w:val="00EE1AF6"/>
    <w:rsid w:val="00EE3AEA"/>
    <w:rsid w:val="00EF0BAC"/>
    <w:rsid w:val="00EF23F7"/>
    <w:rsid w:val="00EF36BC"/>
    <w:rsid w:val="00EF56AE"/>
    <w:rsid w:val="00EF6F53"/>
    <w:rsid w:val="00F13F8A"/>
    <w:rsid w:val="00F1683B"/>
    <w:rsid w:val="00F17913"/>
    <w:rsid w:val="00F20002"/>
    <w:rsid w:val="00F21C77"/>
    <w:rsid w:val="00F221F0"/>
    <w:rsid w:val="00F232E1"/>
    <w:rsid w:val="00F26CAB"/>
    <w:rsid w:val="00F2722E"/>
    <w:rsid w:val="00F272A0"/>
    <w:rsid w:val="00F41532"/>
    <w:rsid w:val="00F551CF"/>
    <w:rsid w:val="00F61148"/>
    <w:rsid w:val="00F7086A"/>
    <w:rsid w:val="00F70A62"/>
    <w:rsid w:val="00F731FE"/>
    <w:rsid w:val="00F73DD0"/>
    <w:rsid w:val="00F843C6"/>
    <w:rsid w:val="00F850D2"/>
    <w:rsid w:val="00F918DC"/>
    <w:rsid w:val="00FC573E"/>
    <w:rsid w:val="00FD01EE"/>
    <w:rsid w:val="00FD2EA7"/>
    <w:rsid w:val="00FE7C8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13AB"/>
  <w15:chartTrackingRefBased/>
  <w15:docId w15:val="{971CD415-7D1E-4107-886C-245C57C3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00"/>
  </w:style>
  <w:style w:type="paragraph" w:styleId="Heading1">
    <w:name w:val="heading 1"/>
    <w:basedOn w:val="Normal"/>
    <w:link w:val="Heading1Char"/>
    <w:uiPriority w:val="9"/>
    <w:qFormat/>
    <w:rsid w:val="00F70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F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0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5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086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NZ"/>
    </w:rPr>
  </w:style>
  <w:style w:type="character" w:customStyle="1" w:styleId="product-banner-author">
    <w:name w:val="product-banner-author"/>
    <w:basedOn w:val="DefaultParagraphFont"/>
    <w:rsid w:val="00F7086A"/>
  </w:style>
  <w:style w:type="character" w:customStyle="1" w:styleId="product-banner-author-name">
    <w:name w:val="product-banner-author-name"/>
    <w:basedOn w:val="DefaultParagraphFont"/>
    <w:rsid w:val="00F7086A"/>
  </w:style>
  <w:style w:type="character" w:customStyle="1" w:styleId="display-label">
    <w:name w:val="display-label"/>
    <w:basedOn w:val="DefaultParagraphFont"/>
    <w:rsid w:val="00F7086A"/>
  </w:style>
  <w:style w:type="character" w:customStyle="1" w:styleId="product-ryt-detail">
    <w:name w:val="product-ryt-detail"/>
    <w:basedOn w:val="DefaultParagraphFont"/>
    <w:rsid w:val="00F7086A"/>
  </w:style>
  <w:style w:type="character" w:customStyle="1" w:styleId="fn">
    <w:name w:val="fn"/>
    <w:basedOn w:val="DefaultParagraphFont"/>
    <w:rsid w:val="00F7086A"/>
  </w:style>
  <w:style w:type="character" w:customStyle="1" w:styleId="meta-date">
    <w:name w:val="meta-date"/>
    <w:basedOn w:val="DefaultParagraphFont"/>
    <w:rsid w:val="00F7086A"/>
  </w:style>
  <w:style w:type="character" w:customStyle="1" w:styleId="elsevieritemautor">
    <w:name w:val="elsevieritemautor"/>
    <w:basedOn w:val="DefaultParagraphFont"/>
    <w:rsid w:val="00655E8C"/>
  </w:style>
  <w:style w:type="character" w:customStyle="1" w:styleId="elsevieritemautorrelaciones">
    <w:name w:val="elsevieritemautorrelaciones"/>
    <w:basedOn w:val="DefaultParagraphFont"/>
    <w:rsid w:val="00655E8C"/>
  </w:style>
  <w:style w:type="character" w:customStyle="1" w:styleId="elsevieritemafiliacioncentro">
    <w:name w:val="elsevieritemafiliacioncentro"/>
    <w:basedOn w:val="DefaultParagraphFont"/>
    <w:rsid w:val="00655E8C"/>
  </w:style>
  <w:style w:type="character" w:customStyle="1" w:styleId="volumen">
    <w:name w:val="volumen"/>
    <w:basedOn w:val="DefaultParagraphFont"/>
    <w:rsid w:val="00655E8C"/>
  </w:style>
  <w:style w:type="character" w:customStyle="1" w:styleId="paginas">
    <w:name w:val="paginas"/>
    <w:basedOn w:val="DefaultParagraphFont"/>
    <w:rsid w:val="00655E8C"/>
  </w:style>
  <w:style w:type="character" w:customStyle="1" w:styleId="fecha-trans">
    <w:name w:val="fecha-trans"/>
    <w:basedOn w:val="DefaultParagraphFont"/>
    <w:rsid w:val="00655E8C"/>
  </w:style>
  <w:style w:type="paragraph" w:styleId="FootnoteText">
    <w:name w:val="footnote text"/>
    <w:basedOn w:val="Normal"/>
    <w:link w:val="FootnoteTextChar"/>
    <w:uiPriority w:val="99"/>
    <w:semiHidden/>
    <w:unhideWhenUsed/>
    <w:rsid w:val="00C533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32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2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00"/>
  </w:style>
  <w:style w:type="paragraph" w:styleId="Footer">
    <w:name w:val="footer"/>
    <w:basedOn w:val="Normal"/>
    <w:link w:val="FooterChar"/>
    <w:uiPriority w:val="99"/>
    <w:unhideWhenUsed/>
    <w:rsid w:val="001F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6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835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9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0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48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15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19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7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498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1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about-us/about-the-university/equity-at-the-university/equity-information-for-staff/equity-in-recruitment-selection-appointment.html" TargetMode="External"/><Relationship Id="rId13" Type="http://schemas.openxmlformats.org/officeDocument/2006/relationships/hyperlink" Target="https://womensplace.osu.edu/resources/implicit-bias-resourc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ckland.ac.nz/en/about/the-university/how-university-works/policy-and-administration/human-resources1/recruitment--appointment-and-induction/recruitment--selection-and-appointment-policy-.html" TargetMode="External"/><Relationship Id="rId12" Type="http://schemas.openxmlformats.org/officeDocument/2006/relationships/hyperlink" Target="https://www.taylorfrancis.com/books/oa-edit/10.4324/9781003001348/gender-sensitive-university-eileen-drew-siobh%C3%A1n-canava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ducation.vic.gov.au/hrweb/Documents/Best-Practice-Guide-Recruitment-Selectio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ff.mq.edu.au/support/people-management/recruitment-and-induction/Inclusive-Recruitment-Guide_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acultydevelopment.cornell.edu/best-practices-in-faculty-recruitment/" TargetMode="External"/><Relationship Id="rId10" Type="http://schemas.openxmlformats.org/officeDocument/2006/relationships/hyperlink" Target="https://www.universitiesaustralia.edu.au/wp-content/uploads/2019/06/Best-Practice-Gender-Equity-Recruitment-Guidelines-6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service.govt.nz/assets/SSC-Site-Assets/Workforce-and-Talent-Management/Implementing-the-Gender-Pay-Principles-and-removing-gender-bias-in-recruitment-processes.pdf" TargetMode="External"/><Relationship Id="rId14" Type="http://schemas.openxmlformats.org/officeDocument/2006/relationships/hyperlink" Target="http://www.bristol.ac.uk/hr/resourcing/practicalguid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8</cp:revision>
  <cp:lastPrinted>2021-05-18T20:11:00Z</cp:lastPrinted>
  <dcterms:created xsi:type="dcterms:W3CDTF">2020-07-15T00:05:00Z</dcterms:created>
  <dcterms:modified xsi:type="dcterms:W3CDTF">2021-08-26T03:40:00Z</dcterms:modified>
</cp:coreProperties>
</file>