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4A0F" w14:textId="1537F333" w:rsidR="009C218E" w:rsidRDefault="009C218E" w:rsidP="009C218E">
      <w:pPr>
        <w:pStyle w:val="Heading1"/>
        <w:ind w:left="5760" w:firstLine="720"/>
        <w:rPr>
          <w:lang w:val="en-US"/>
        </w:rPr>
      </w:pPr>
      <w:r>
        <w:rPr>
          <w:noProof/>
        </w:rPr>
        <w:drawing>
          <wp:inline distT="0" distB="0" distL="0" distR="0" wp14:anchorId="1E79A586" wp14:editId="3BCFCFC9">
            <wp:extent cx="1821600" cy="576000"/>
            <wp:effectExtent l="0" t="0" r="7620" b="0"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9F8BC48A-0D8B-4F6A-A869-700B460006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9F8BC48A-0D8B-4F6A-A869-700B460006A1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6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5A30B" w14:textId="48BEAE87" w:rsidR="00D352EB" w:rsidRDefault="00D352EB" w:rsidP="00D352EB">
      <w:pPr>
        <w:pStyle w:val="Heading1"/>
        <w:rPr>
          <w:lang w:val="en-US"/>
        </w:rPr>
      </w:pPr>
      <w:r w:rsidRPr="00D352EB">
        <w:rPr>
          <w:lang w:val="en-US"/>
        </w:rPr>
        <w:t>Inclusive Recruitment</w:t>
      </w:r>
      <w:r>
        <w:rPr>
          <w:lang w:val="en-US"/>
        </w:rPr>
        <w:t xml:space="preserve">: </w:t>
      </w:r>
      <w:r w:rsidRPr="00D352EB">
        <w:rPr>
          <w:lang w:val="en-US"/>
        </w:rPr>
        <w:t>Support for Hiring Managers</w:t>
      </w:r>
      <w:r w:rsidR="001A4A32">
        <w:rPr>
          <w:lang w:val="en-US"/>
        </w:rPr>
        <w:t xml:space="preserve"> and Recruitment and Selection Committees</w:t>
      </w:r>
    </w:p>
    <w:p w14:paraId="492CCC41" w14:textId="56A4BE2A" w:rsidR="00D352EB" w:rsidRDefault="00D352EB" w:rsidP="00D352EB">
      <w:pPr>
        <w:rPr>
          <w:lang w:val="en-US"/>
        </w:rPr>
      </w:pPr>
    </w:p>
    <w:p w14:paraId="5D95EF7D" w14:textId="2248F7EF" w:rsidR="00456F2A" w:rsidRDefault="00456F2A" w:rsidP="00456F2A">
      <w:pPr>
        <w:pStyle w:val="Heading2"/>
      </w:pPr>
      <w:bookmarkStart w:id="0" w:name="_Hlk87263490"/>
      <w:r>
        <w:t>Introduction</w:t>
      </w:r>
    </w:p>
    <w:p w14:paraId="645C4AC3" w14:textId="31E5B24E" w:rsidR="00456F2A" w:rsidRPr="00820ABB" w:rsidRDefault="00456F2A" w:rsidP="00820ABB">
      <w:pPr>
        <w:spacing w:line="240" w:lineRule="auto"/>
      </w:pPr>
      <w:r w:rsidRPr="00820ABB">
        <w:t xml:space="preserve">The following comprehensive recruitment toolkit for faculties and service divisions provides strategies and ideas drawn from best practice </w:t>
      </w:r>
      <w:r w:rsidR="00E90547">
        <w:t xml:space="preserve">nationally and internationally particularly from </w:t>
      </w:r>
      <w:r w:rsidRPr="00820ABB">
        <w:t>the university sector.</w:t>
      </w:r>
    </w:p>
    <w:p w14:paraId="1DAAAA49" w14:textId="45A2D51C" w:rsidR="00456F2A" w:rsidRPr="00820ABB" w:rsidRDefault="00456F2A" w:rsidP="00820ABB">
      <w:pPr>
        <w:spacing w:line="240" w:lineRule="auto"/>
      </w:pPr>
      <w:r w:rsidRPr="00820ABB">
        <w:rPr>
          <w:color w:val="000000"/>
          <w:shd w:val="clear" w:color="auto" w:fill="FFFFFF"/>
        </w:rPr>
        <w:t xml:space="preserve">The commitment to inclusive recruitment and equity outcomes will attract, </w:t>
      </w:r>
      <w:proofErr w:type="gramStart"/>
      <w:r w:rsidRPr="00820ABB">
        <w:rPr>
          <w:color w:val="000000"/>
          <w:shd w:val="clear" w:color="auto" w:fill="FFFFFF"/>
        </w:rPr>
        <w:t>retain</w:t>
      </w:r>
      <w:proofErr w:type="gramEnd"/>
      <w:r w:rsidRPr="00820ABB">
        <w:rPr>
          <w:color w:val="000000"/>
          <w:shd w:val="clear" w:color="auto" w:fill="FFFFFF"/>
        </w:rPr>
        <w:t xml:space="preserve"> and support talented people to achieve their potential. This will benefit the creative and intellectual life of the University, and support engagement with the University’s diverse communities and stakeholders. </w:t>
      </w:r>
    </w:p>
    <w:p w14:paraId="48407A6E" w14:textId="3A6BBEB4" w:rsidR="00456F2A" w:rsidRPr="00820ABB" w:rsidRDefault="00456F2A" w:rsidP="00820ABB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2"/>
          <w:szCs w:val="22"/>
        </w:rPr>
      </w:pPr>
      <w:r w:rsidRPr="00820ABB">
        <w:rPr>
          <w:rFonts w:ascii="Segoe UI" w:hAnsi="Segoe UI" w:cs="Segoe UI"/>
          <w:color w:val="000000"/>
          <w:sz w:val="22"/>
          <w:szCs w:val="22"/>
        </w:rPr>
        <w:t xml:space="preserve">The University of Auckland is committed to meeting its responsibilities under Te </w:t>
      </w:r>
      <w:proofErr w:type="spellStart"/>
      <w:r w:rsidRPr="00820ABB">
        <w:rPr>
          <w:rFonts w:ascii="Segoe UI" w:hAnsi="Segoe UI" w:cs="Segoe UI"/>
          <w:color w:val="000000"/>
          <w:sz w:val="22"/>
          <w:szCs w:val="22"/>
        </w:rPr>
        <w:t>Tiriti</w:t>
      </w:r>
      <w:proofErr w:type="spellEnd"/>
      <w:r w:rsidRPr="00820ABB">
        <w:rPr>
          <w:rFonts w:ascii="Segoe UI" w:hAnsi="Segoe UI" w:cs="Segoe UI"/>
          <w:color w:val="000000"/>
          <w:sz w:val="22"/>
          <w:szCs w:val="22"/>
        </w:rPr>
        <w:t xml:space="preserve"> o </w:t>
      </w:r>
      <w:proofErr w:type="gramStart"/>
      <w:r w:rsidRPr="00820ABB">
        <w:rPr>
          <w:rFonts w:ascii="Segoe UI" w:hAnsi="Segoe UI" w:cs="Segoe UI"/>
          <w:color w:val="000000"/>
          <w:sz w:val="22"/>
          <w:szCs w:val="22"/>
        </w:rPr>
        <w:t>Waitangi, and</w:t>
      </w:r>
      <w:proofErr w:type="gramEnd"/>
      <w:r w:rsidRPr="00820ABB">
        <w:rPr>
          <w:rFonts w:ascii="Segoe UI" w:hAnsi="Segoe UI" w:cs="Segoe UI"/>
          <w:color w:val="000000"/>
          <w:sz w:val="22"/>
          <w:szCs w:val="22"/>
        </w:rPr>
        <w:t xml:space="preserve"> acknowledges the distinct status of </w:t>
      </w:r>
      <w:r w:rsidRPr="00820ABB">
        <w:rPr>
          <w:rFonts w:ascii="Segoe UI" w:hAnsi="Segoe UI" w:cs="Segoe UI"/>
          <w:bCs/>
          <w:color w:val="000000"/>
          <w:sz w:val="22"/>
          <w:szCs w:val="22"/>
          <w:bdr w:val="none" w:sz="0" w:space="0" w:color="auto" w:frame="1"/>
        </w:rPr>
        <w:t>Māori</w:t>
      </w:r>
      <w:r w:rsidRPr="00820ABB">
        <w:rPr>
          <w:rFonts w:ascii="Segoe UI" w:hAnsi="Segoe UI" w:cs="Segoe UI"/>
          <w:color w:val="000000"/>
          <w:sz w:val="22"/>
          <w:szCs w:val="22"/>
        </w:rPr>
        <w:t xml:space="preserve"> as </w:t>
      </w:r>
      <w:proofErr w:type="spellStart"/>
      <w:r w:rsidRPr="00820ABB">
        <w:rPr>
          <w:rFonts w:ascii="Segoe UI" w:hAnsi="Segoe UI" w:cs="Segoe UI"/>
          <w:color w:val="000000"/>
          <w:sz w:val="22"/>
          <w:szCs w:val="22"/>
        </w:rPr>
        <w:t>tangata</w:t>
      </w:r>
      <w:proofErr w:type="spellEnd"/>
      <w:r w:rsidRPr="00820ABB">
        <w:rPr>
          <w:rFonts w:ascii="Segoe UI" w:hAnsi="Segoe UI" w:cs="Segoe UI"/>
          <w:color w:val="000000"/>
          <w:sz w:val="22"/>
          <w:szCs w:val="22"/>
        </w:rPr>
        <w:t xml:space="preserve"> whenua. </w:t>
      </w:r>
    </w:p>
    <w:p w14:paraId="44FD660B" w14:textId="77777777" w:rsidR="00456F2A" w:rsidRPr="00820ABB" w:rsidRDefault="00456F2A" w:rsidP="00820ABB">
      <w:pPr>
        <w:shd w:val="clear" w:color="auto" w:fill="FFFFFF"/>
        <w:spacing w:after="0" w:line="240" w:lineRule="auto"/>
        <w:rPr>
          <w:color w:val="000000"/>
        </w:rPr>
      </w:pPr>
    </w:p>
    <w:p w14:paraId="4C4C5674" w14:textId="353591E6" w:rsidR="00456F2A" w:rsidRDefault="00456F2A" w:rsidP="00820ABB">
      <w:pPr>
        <w:shd w:val="clear" w:color="auto" w:fill="FFFFFF"/>
        <w:spacing w:after="0" w:line="240" w:lineRule="auto"/>
        <w:rPr>
          <w:color w:val="000000"/>
        </w:rPr>
      </w:pPr>
      <w:r w:rsidRPr="00820ABB">
        <w:rPr>
          <w:color w:val="000000"/>
        </w:rPr>
        <w:t>We seek to</w:t>
      </w:r>
      <w:r w:rsidR="00820ABB">
        <w:rPr>
          <w:color w:val="000000"/>
        </w:rPr>
        <w:t xml:space="preserve"> ensure our recruitment process is equitable and inclusive by</w:t>
      </w:r>
      <w:r w:rsidRPr="00820ABB">
        <w:rPr>
          <w:color w:val="000000"/>
        </w:rPr>
        <w:t xml:space="preserve"> </w:t>
      </w:r>
      <w:r w:rsidR="00820ABB">
        <w:rPr>
          <w:color w:val="000000"/>
        </w:rPr>
        <w:t xml:space="preserve">identifying and </w:t>
      </w:r>
      <w:r w:rsidRPr="00820ABB">
        <w:rPr>
          <w:color w:val="000000"/>
        </w:rPr>
        <w:t>eliminat</w:t>
      </w:r>
      <w:r w:rsidR="00820ABB">
        <w:rPr>
          <w:color w:val="000000"/>
        </w:rPr>
        <w:t xml:space="preserve">ing bias and </w:t>
      </w:r>
      <w:r w:rsidRPr="00820ABB">
        <w:rPr>
          <w:color w:val="000000"/>
        </w:rPr>
        <w:t>unfair</w:t>
      </w:r>
      <w:r w:rsidR="00820ABB">
        <w:rPr>
          <w:color w:val="000000"/>
        </w:rPr>
        <w:t xml:space="preserve"> practices </w:t>
      </w:r>
      <w:r w:rsidRPr="00820ABB">
        <w:rPr>
          <w:color w:val="000000"/>
        </w:rPr>
        <w:t xml:space="preserve">and support equitable access, participation, </w:t>
      </w:r>
      <w:proofErr w:type="gramStart"/>
      <w:r w:rsidRPr="00820ABB">
        <w:rPr>
          <w:color w:val="000000"/>
        </w:rPr>
        <w:t>engagement</w:t>
      </w:r>
      <w:proofErr w:type="gramEnd"/>
      <w:r w:rsidRPr="00820ABB">
        <w:rPr>
          <w:color w:val="000000"/>
        </w:rPr>
        <w:t xml:space="preserve"> and success for all staff particularly Māori as well as those from </w:t>
      </w:r>
      <w:r w:rsidRPr="00820ABB">
        <w:rPr>
          <w:bCs/>
          <w:color w:val="000000"/>
          <w:bdr w:val="none" w:sz="0" w:space="0" w:color="auto" w:frame="1"/>
        </w:rPr>
        <w:t>equity groups</w:t>
      </w:r>
      <w:r w:rsidR="00820ABB">
        <w:rPr>
          <w:bCs/>
          <w:color w:val="000000"/>
          <w:bdr w:val="none" w:sz="0" w:space="0" w:color="auto" w:frame="1"/>
        </w:rPr>
        <w:t>.</w:t>
      </w:r>
      <w:r w:rsidRPr="00820ABB">
        <w:rPr>
          <w:color w:val="000000"/>
        </w:rPr>
        <w:t xml:space="preserve"> </w:t>
      </w:r>
      <w:r w:rsidRPr="00820ABB">
        <w:rPr>
          <w:bCs/>
          <w:color w:val="000000"/>
        </w:rPr>
        <w:t>Equity groups</w:t>
      </w:r>
      <w:r w:rsidRPr="00820ABB">
        <w:rPr>
          <w:color w:val="000000"/>
        </w:rPr>
        <w:t xml:space="preserve"> includ</w:t>
      </w:r>
      <w:r w:rsidR="001A4A32">
        <w:rPr>
          <w:color w:val="000000"/>
        </w:rPr>
        <w:t>e</w:t>
      </w:r>
      <w:r w:rsidRPr="00820ABB">
        <w:rPr>
          <w:color w:val="000000"/>
        </w:rPr>
        <w:t xml:space="preserve"> people with disabilities,</w:t>
      </w:r>
      <w:r w:rsidR="001A4A32">
        <w:rPr>
          <w:color w:val="000000"/>
        </w:rPr>
        <w:t xml:space="preserve"> </w:t>
      </w:r>
      <w:r w:rsidR="001A4A32" w:rsidRPr="00820ABB">
        <w:rPr>
          <w:color w:val="000000"/>
        </w:rPr>
        <w:t>Pacific people</w:t>
      </w:r>
      <w:r w:rsidR="004978BA">
        <w:rPr>
          <w:color w:val="000000"/>
        </w:rPr>
        <w:t>,</w:t>
      </w:r>
      <w:r w:rsidRPr="00820ABB">
        <w:rPr>
          <w:color w:val="000000"/>
        </w:rPr>
        <w:t xml:space="preserve"> </w:t>
      </w:r>
      <w:proofErr w:type="spellStart"/>
      <w:r w:rsidRPr="00820ABB">
        <w:rPr>
          <w:color w:val="000000"/>
        </w:rPr>
        <w:t>LGBTQI+Tākatapui</w:t>
      </w:r>
      <w:proofErr w:type="spellEnd"/>
      <w:r w:rsidRPr="00820ABB">
        <w:rPr>
          <w:color w:val="000000"/>
        </w:rPr>
        <w:t xml:space="preserve">, people from refugee background, men, </w:t>
      </w:r>
      <w:proofErr w:type="gramStart"/>
      <w:r w:rsidRPr="00820ABB">
        <w:rPr>
          <w:color w:val="000000"/>
        </w:rPr>
        <w:t>women</w:t>
      </w:r>
      <w:proofErr w:type="gramEnd"/>
      <w:r w:rsidRPr="00820ABB">
        <w:rPr>
          <w:color w:val="000000"/>
        </w:rPr>
        <w:t xml:space="preserve"> and gender diverse people where there are barriers to success and under-representation.</w:t>
      </w:r>
    </w:p>
    <w:p w14:paraId="7658D802" w14:textId="4963BEA2" w:rsidR="00820ABB" w:rsidRDefault="00820ABB" w:rsidP="00820ABB">
      <w:pPr>
        <w:shd w:val="clear" w:color="auto" w:fill="FFFFFF"/>
        <w:spacing w:after="0" w:line="240" w:lineRule="auto"/>
        <w:rPr>
          <w:color w:val="000000"/>
        </w:rPr>
      </w:pPr>
    </w:p>
    <w:p w14:paraId="1D69087E" w14:textId="1C4B6DEC" w:rsidR="00EB7D1B" w:rsidRDefault="00EB7D1B" w:rsidP="00820ABB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It is envisioned that this toolkit will support the implementation of the University’s </w:t>
      </w:r>
      <w:hyperlink r:id="rId9" w:history="1">
        <w:r>
          <w:rPr>
            <w:rStyle w:val="Hyperlink"/>
          </w:rPr>
          <w:t>Recruitment, Selection and Appointment Policy and Procedures</w:t>
        </w:r>
      </w:hyperlink>
      <w:r>
        <w:rPr>
          <w:color w:val="000000"/>
        </w:rPr>
        <w:t xml:space="preserve"> and used alongside the University’s recruitment process </w:t>
      </w:r>
      <w:proofErr w:type="spellStart"/>
      <w:r>
        <w:rPr>
          <w:color w:val="000000"/>
        </w:rPr>
        <w:t>Smar</w:t>
      </w:r>
      <w:r w:rsidR="00D546FA">
        <w:rPr>
          <w:color w:val="000000"/>
        </w:rPr>
        <w:t>t</w:t>
      </w:r>
      <w:r>
        <w:rPr>
          <w:color w:val="000000"/>
        </w:rPr>
        <w:t>Recruiters</w:t>
      </w:r>
      <w:proofErr w:type="spellEnd"/>
      <w:r>
        <w:rPr>
          <w:color w:val="000000"/>
        </w:rPr>
        <w:t>.</w:t>
      </w:r>
    </w:p>
    <w:p w14:paraId="4459C064" w14:textId="77777777" w:rsidR="00EB7D1B" w:rsidRDefault="00EB7D1B" w:rsidP="00820ABB">
      <w:pPr>
        <w:shd w:val="clear" w:color="auto" w:fill="FFFFFF"/>
        <w:spacing w:after="0" w:line="240" w:lineRule="auto"/>
        <w:rPr>
          <w:color w:val="000000"/>
        </w:rPr>
      </w:pPr>
    </w:p>
    <w:p w14:paraId="12953B13" w14:textId="7D3A4F1B" w:rsidR="00820ABB" w:rsidRDefault="00820ABB" w:rsidP="00820ABB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This toolkit</w:t>
      </w:r>
      <w:r w:rsidR="000153CF">
        <w:rPr>
          <w:color w:val="000000"/>
        </w:rPr>
        <w:t xml:space="preserve"> was developed by the University of Auckland Equity Office as</w:t>
      </w:r>
      <w:r>
        <w:rPr>
          <w:color w:val="000000"/>
        </w:rPr>
        <w:t xml:space="preserve"> part of a pilot project with the Faculty of Science</w:t>
      </w:r>
      <w:r w:rsidR="00E90547">
        <w:rPr>
          <w:color w:val="000000"/>
        </w:rPr>
        <w:t xml:space="preserve"> Equity Committee</w:t>
      </w:r>
      <w:r>
        <w:rPr>
          <w:color w:val="000000"/>
        </w:rPr>
        <w:t xml:space="preserve">. </w:t>
      </w:r>
      <w:r w:rsidR="00E90547">
        <w:rPr>
          <w:color w:val="000000"/>
        </w:rPr>
        <w:t>Staff Equity are</w:t>
      </w:r>
      <w:r>
        <w:rPr>
          <w:color w:val="000000"/>
        </w:rPr>
        <w:t xml:space="preserve"> keen to hear of any innovative approaches to inclusive recruitment that enables us to attract, appoint and retain diverse applicants.</w:t>
      </w:r>
    </w:p>
    <w:bookmarkEnd w:id="0"/>
    <w:p w14:paraId="2CF5BA10" w14:textId="1AB9A6F2" w:rsidR="00820ABB" w:rsidRDefault="00820ABB" w:rsidP="00820ABB">
      <w:pPr>
        <w:shd w:val="clear" w:color="auto" w:fill="FFFFFF"/>
        <w:spacing w:after="0" w:line="240" w:lineRule="auto"/>
        <w:rPr>
          <w:color w:val="000000"/>
        </w:rPr>
      </w:pPr>
    </w:p>
    <w:p w14:paraId="5F464F81" w14:textId="2764ED8B" w:rsidR="0088464A" w:rsidRDefault="0088464A" w:rsidP="00820ABB">
      <w:pPr>
        <w:shd w:val="clear" w:color="auto" w:fill="FFFFFF"/>
        <w:spacing w:after="0" w:line="240" w:lineRule="auto"/>
        <w:rPr>
          <w:color w:val="000000"/>
        </w:rPr>
      </w:pPr>
    </w:p>
    <w:p w14:paraId="65F9B3A1" w14:textId="376D01ED" w:rsidR="0088464A" w:rsidRDefault="0088464A" w:rsidP="00820ABB">
      <w:pPr>
        <w:shd w:val="clear" w:color="auto" w:fill="FFFFFF"/>
        <w:spacing w:after="0" w:line="240" w:lineRule="auto"/>
        <w:rPr>
          <w:color w:val="000000"/>
        </w:rPr>
      </w:pPr>
    </w:p>
    <w:p w14:paraId="6BEFC427" w14:textId="6844EAF3" w:rsidR="0088464A" w:rsidRDefault="0088464A" w:rsidP="00820ABB">
      <w:pPr>
        <w:shd w:val="clear" w:color="auto" w:fill="FFFFFF"/>
        <w:spacing w:after="0" w:line="240" w:lineRule="auto"/>
        <w:rPr>
          <w:color w:val="000000"/>
        </w:rPr>
      </w:pPr>
    </w:p>
    <w:p w14:paraId="26D060EA" w14:textId="2322BAE4" w:rsidR="0088464A" w:rsidRDefault="0088464A" w:rsidP="00820ABB">
      <w:pPr>
        <w:shd w:val="clear" w:color="auto" w:fill="FFFFFF"/>
        <w:spacing w:after="0" w:line="240" w:lineRule="auto"/>
        <w:rPr>
          <w:color w:val="000000"/>
        </w:rPr>
      </w:pPr>
    </w:p>
    <w:p w14:paraId="5447809A" w14:textId="77777777" w:rsidR="00964766" w:rsidRDefault="009647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1D0761E5" w14:textId="77777777" w:rsidR="000153CF" w:rsidRDefault="000153CF" w:rsidP="00EB7D1B">
      <w:pPr>
        <w:pStyle w:val="Heading1"/>
        <w:sectPr w:rsidR="000153CF" w:rsidSect="009C218E">
          <w:headerReference w:type="default" r:id="rId10"/>
          <w:footerReference w:type="defaul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1BEA20C" w14:textId="2EAF7AD1" w:rsidR="00EB7D1B" w:rsidRDefault="00EB7D1B" w:rsidP="00EB7D1B">
      <w:pPr>
        <w:pStyle w:val="Heading1"/>
      </w:pPr>
      <w:r w:rsidRPr="00EB7D1B">
        <w:lastRenderedPageBreak/>
        <w:t xml:space="preserve">Why we </w:t>
      </w:r>
      <w:r>
        <w:t>need to consider inclusive recruitment practices</w:t>
      </w:r>
    </w:p>
    <w:p w14:paraId="3E500457" w14:textId="77777777" w:rsidR="000C4C63" w:rsidRPr="000C4C63" w:rsidRDefault="000C4C63" w:rsidP="000C4C63"/>
    <w:p w14:paraId="12FDF77D" w14:textId="1079FC88" w:rsidR="00132118" w:rsidRDefault="000153CF">
      <w:pPr>
        <w:rPr>
          <w:color w:val="000000"/>
        </w:rPr>
      </w:pPr>
      <w:r w:rsidRPr="000153CF">
        <w:rPr>
          <w:noProof/>
          <w:color w:val="000000"/>
        </w:rPr>
        <w:drawing>
          <wp:inline distT="0" distB="0" distL="0" distR="0" wp14:anchorId="32D995F2" wp14:editId="3A861EB2">
            <wp:extent cx="7854950" cy="4418409"/>
            <wp:effectExtent l="19050" t="19050" r="1270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74028" cy="4429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693D03" w14:textId="15DFC979" w:rsidR="00964766" w:rsidRPr="000153CF" w:rsidRDefault="00964766">
      <w:pPr>
        <w:rPr>
          <w:color w:val="000000"/>
        </w:rPr>
      </w:pPr>
      <w:r w:rsidRPr="000153CF">
        <w:rPr>
          <w:color w:val="000000"/>
          <w:vertAlign w:val="superscript"/>
        </w:rPr>
        <w:t>1</w:t>
      </w:r>
      <w:r w:rsidR="000153CF" w:rsidRPr="000153CF">
        <w:rPr>
          <w:color w:val="000000"/>
        </w:rPr>
        <w:t xml:space="preserve"> </w:t>
      </w:r>
      <w:hyperlink r:id="rId13" w:history="1">
        <w:r w:rsidR="000153CF" w:rsidRPr="000153CF">
          <w:rPr>
            <w:rStyle w:val="Hyperlink"/>
          </w:rPr>
          <w:t>Equity Groups</w:t>
        </w:r>
      </w:hyperlink>
    </w:p>
    <w:p w14:paraId="57E51DBF" w14:textId="15124C39" w:rsidR="00D546FA" w:rsidRDefault="000153CF">
      <w:pPr>
        <w:rPr>
          <w:color w:val="000000"/>
        </w:rPr>
      </w:pPr>
      <w:r w:rsidRPr="000153CF">
        <w:rPr>
          <w:noProof/>
          <w:color w:val="000000"/>
        </w:rPr>
        <w:lastRenderedPageBreak/>
        <w:drawing>
          <wp:inline distT="0" distB="0" distL="0" distR="0" wp14:anchorId="7A02D16A" wp14:editId="0F500D05">
            <wp:extent cx="7683500" cy="4321969"/>
            <wp:effectExtent l="19050" t="19050" r="1270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99534" cy="43309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3E99418" w14:textId="77777777" w:rsidR="00964766" w:rsidRDefault="0096476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F17D99" w14:textId="561D7A4C" w:rsidR="007E40C4" w:rsidRDefault="007E40C4" w:rsidP="00D546FA">
      <w:pPr>
        <w:pStyle w:val="Heading1"/>
      </w:pPr>
      <w:r>
        <w:lastRenderedPageBreak/>
        <w:t>Contents</w:t>
      </w:r>
    </w:p>
    <w:p w14:paraId="605F43C0" w14:textId="4ACF54B5" w:rsidR="00820ABB" w:rsidRDefault="00820ABB" w:rsidP="00820ABB">
      <w:pPr>
        <w:pStyle w:val="Heading2"/>
      </w:pPr>
      <w:r>
        <w:t>Step 1: Prior to recruitment</w:t>
      </w:r>
    </w:p>
    <w:p w14:paraId="1028A182" w14:textId="01C8A8EF" w:rsidR="00820ABB" w:rsidRDefault="00820ABB" w:rsidP="00820ABB"/>
    <w:p w14:paraId="0A058EDA" w14:textId="7828A815" w:rsidR="00820ABB" w:rsidRDefault="00820ABB" w:rsidP="00820ABB">
      <w:pPr>
        <w:pStyle w:val="Heading2"/>
      </w:pPr>
      <w:r>
        <w:t xml:space="preserve">Step 2: </w:t>
      </w:r>
      <w:r w:rsidR="001A4A32">
        <w:t>Scoping the position</w:t>
      </w:r>
    </w:p>
    <w:p w14:paraId="2D0E0BC7" w14:textId="0EE68EBD" w:rsidR="00820ABB" w:rsidRDefault="00820ABB" w:rsidP="00820ABB"/>
    <w:p w14:paraId="3DFE9A0A" w14:textId="4E04F1F4" w:rsidR="00820ABB" w:rsidRDefault="00820ABB" w:rsidP="00820ABB">
      <w:pPr>
        <w:pStyle w:val="Heading2"/>
      </w:pPr>
      <w:r>
        <w:t>Step 3: Selection Committee membership</w:t>
      </w:r>
    </w:p>
    <w:p w14:paraId="2EC2F037" w14:textId="078627E7" w:rsidR="00820ABB" w:rsidRDefault="00820ABB" w:rsidP="00820ABB"/>
    <w:p w14:paraId="40B58C0E" w14:textId="60F9AE41" w:rsidR="00820ABB" w:rsidRDefault="00820ABB" w:rsidP="00820ABB">
      <w:pPr>
        <w:pStyle w:val="Heading2"/>
      </w:pPr>
      <w:r>
        <w:t>Step 4: Selection Criteria</w:t>
      </w:r>
    </w:p>
    <w:p w14:paraId="659EE67A" w14:textId="1BFCC19F" w:rsidR="00820ABB" w:rsidRDefault="00820ABB" w:rsidP="00820ABB"/>
    <w:p w14:paraId="4A9CA86F" w14:textId="253F9077" w:rsidR="00820ABB" w:rsidRDefault="00820ABB" w:rsidP="00820ABB">
      <w:pPr>
        <w:pStyle w:val="Heading2"/>
      </w:pPr>
      <w:r>
        <w:t>Step 5: A</w:t>
      </w:r>
      <w:r w:rsidR="00B82387">
        <w:t>ttracting candidates</w:t>
      </w:r>
    </w:p>
    <w:p w14:paraId="1295F9FA" w14:textId="30286E07" w:rsidR="001A4A32" w:rsidRDefault="001A4A32" w:rsidP="001A4A32">
      <w:pPr>
        <w:pStyle w:val="Heading3"/>
      </w:pPr>
      <w:r>
        <w:tab/>
        <w:t>5.1: Writing the advertisement</w:t>
      </w:r>
    </w:p>
    <w:p w14:paraId="1A11C30F" w14:textId="757C11EB" w:rsidR="001A4A32" w:rsidRPr="001A4A32" w:rsidRDefault="001A4A32" w:rsidP="001A4A32">
      <w:pPr>
        <w:pStyle w:val="Heading3"/>
      </w:pPr>
      <w:r>
        <w:tab/>
        <w:t>5.2: Seeking diverse applicants</w:t>
      </w:r>
    </w:p>
    <w:p w14:paraId="277952C3" w14:textId="7468BA6F" w:rsidR="00820ABB" w:rsidRDefault="00820ABB" w:rsidP="00820ABB"/>
    <w:p w14:paraId="70C52BFB" w14:textId="04C202AD" w:rsidR="00820ABB" w:rsidRDefault="00820ABB" w:rsidP="00820ABB">
      <w:pPr>
        <w:pStyle w:val="Heading2"/>
      </w:pPr>
      <w:r>
        <w:t>Step 6: Shortlisting</w:t>
      </w:r>
    </w:p>
    <w:p w14:paraId="21ED5DFF" w14:textId="66D6F9D4" w:rsidR="001A4A32" w:rsidRDefault="001A4A32" w:rsidP="001A4A32">
      <w:pPr>
        <w:pStyle w:val="Heading3"/>
      </w:pPr>
      <w:r>
        <w:tab/>
        <w:t>6.1: General principles</w:t>
      </w:r>
    </w:p>
    <w:p w14:paraId="603B3605" w14:textId="47B4D00F" w:rsidR="001A4A32" w:rsidRDefault="001A4A32" w:rsidP="001A4A32">
      <w:pPr>
        <w:pStyle w:val="Heading3"/>
      </w:pPr>
      <w:r>
        <w:tab/>
        <w:t>6.2: Long listing</w:t>
      </w:r>
    </w:p>
    <w:p w14:paraId="7E9EB7E5" w14:textId="311066B0" w:rsidR="001A4A32" w:rsidRDefault="001A4A32" w:rsidP="001A4A32">
      <w:pPr>
        <w:pStyle w:val="Heading3"/>
      </w:pPr>
      <w:r>
        <w:tab/>
        <w:t>6.3: Phone screening</w:t>
      </w:r>
    </w:p>
    <w:p w14:paraId="5D404DB2" w14:textId="1F271D22" w:rsidR="001A4A32" w:rsidRPr="001A4A32" w:rsidRDefault="001A4A32" w:rsidP="001A4A32">
      <w:pPr>
        <w:pStyle w:val="Heading3"/>
      </w:pPr>
      <w:r>
        <w:tab/>
        <w:t>6.4: Shortlisting including video screening</w:t>
      </w:r>
    </w:p>
    <w:p w14:paraId="76276A05" w14:textId="2FDA953F" w:rsidR="00820ABB" w:rsidRDefault="00820ABB" w:rsidP="00820ABB"/>
    <w:p w14:paraId="6F9C534C" w14:textId="748AA9D0" w:rsidR="00B82387" w:rsidRDefault="00B82387" w:rsidP="00B82387">
      <w:pPr>
        <w:pStyle w:val="Heading2"/>
      </w:pPr>
      <w:r>
        <w:t>Step 7: Interviewing</w:t>
      </w:r>
    </w:p>
    <w:p w14:paraId="06A19497" w14:textId="7FCE1A6D" w:rsidR="00B82387" w:rsidRDefault="00B82387" w:rsidP="00B82387"/>
    <w:p w14:paraId="20D8C2EF" w14:textId="0E20DD59" w:rsidR="00B82387" w:rsidRPr="00B82387" w:rsidRDefault="00B82387" w:rsidP="00B82387">
      <w:pPr>
        <w:pStyle w:val="Heading2"/>
      </w:pPr>
      <w:r>
        <w:t>Step 8: Decision making</w:t>
      </w:r>
    </w:p>
    <w:p w14:paraId="49BD2D49" w14:textId="7B1BC699" w:rsidR="00B82387" w:rsidRDefault="00B82387"/>
    <w:sectPr w:rsidR="00B82387" w:rsidSect="000153C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C042" w14:textId="77777777" w:rsidR="00EB7D1B" w:rsidRDefault="00EB7D1B" w:rsidP="00EB7D1B">
      <w:pPr>
        <w:spacing w:after="0" w:line="240" w:lineRule="auto"/>
      </w:pPr>
      <w:r>
        <w:separator/>
      </w:r>
    </w:p>
  </w:endnote>
  <w:endnote w:type="continuationSeparator" w:id="0">
    <w:p w14:paraId="51C2285E" w14:textId="77777777" w:rsidR="00EB7D1B" w:rsidRDefault="00EB7D1B" w:rsidP="00EB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5E5A9" w14:textId="49D2A795" w:rsidR="000153CF" w:rsidRDefault="000153CF">
    <w:pPr>
      <w:pStyle w:val="Footer"/>
    </w:pPr>
    <w:r>
      <w:t>University of Auckland Equity Office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4F290" w14:textId="77777777" w:rsidR="00EB7D1B" w:rsidRDefault="00EB7D1B" w:rsidP="00EB7D1B">
      <w:pPr>
        <w:spacing w:after="0" w:line="240" w:lineRule="auto"/>
      </w:pPr>
      <w:r>
        <w:separator/>
      </w:r>
    </w:p>
  </w:footnote>
  <w:footnote w:type="continuationSeparator" w:id="0">
    <w:p w14:paraId="71912972" w14:textId="77777777" w:rsidR="00EB7D1B" w:rsidRDefault="00EB7D1B" w:rsidP="00EB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2413" w14:textId="5357B599" w:rsidR="00EB7D1B" w:rsidRDefault="00EB7D1B" w:rsidP="000153CF">
    <w:pPr>
      <w:pStyle w:val="Header"/>
      <w:ind w:left="6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41A63"/>
    <w:multiLevelType w:val="hybridMultilevel"/>
    <w:tmpl w:val="1C5AF4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205B"/>
    <w:multiLevelType w:val="multilevel"/>
    <w:tmpl w:val="03BA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EB"/>
    <w:rsid w:val="00005F12"/>
    <w:rsid w:val="000104F1"/>
    <w:rsid w:val="00012A35"/>
    <w:rsid w:val="000136D5"/>
    <w:rsid w:val="000153CF"/>
    <w:rsid w:val="000432FC"/>
    <w:rsid w:val="000534D5"/>
    <w:rsid w:val="0005498E"/>
    <w:rsid w:val="00063B17"/>
    <w:rsid w:val="00082EE3"/>
    <w:rsid w:val="00092D0F"/>
    <w:rsid w:val="0009452E"/>
    <w:rsid w:val="000B071C"/>
    <w:rsid w:val="000B2509"/>
    <w:rsid w:val="000B3248"/>
    <w:rsid w:val="000C007F"/>
    <w:rsid w:val="000C4C63"/>
    <w:rsid w:val="000C4DCA"/>
    <w:rsid w:val="000D6462"/>
    <w:rsid w:val="000E0347"/>
    <w:rsid w:val="000E3D5F"/>
    <w:rsid w:val="000E4FDB"/>
    <w:rsid w:val="00102F38"/>
    <w:rsid w:val="001060BD"/>
    <w:rsid w:val="00121A2E"/>
    <w:rsid w:val="00125C79"/>
    <w:rsid w:val="00126DBB"/>
    <w:rsid w:val="00132118"/>
    <w:rsid w:val="001411FD"/>
    <w:rsid w:val="00141B1C"/>
    <w:rsid w:val="00142A01"/>
    <w:rsid w:val="00151E7F"/>
    <w:rsid w:val="00154A4C"/>
    <w:rsid w:val="001559A5"/>
    <w:rsid w:val="001658CD"/>
    <w:rsid w:val="0017085B"/>
    <w:rsid w:val="001709FA"/>
    <w:rsid w:val="00172323"/>
    <w:rsid w:val="001814E9"/>
    <w:rsid w:val="00182BB4"/>
    <w:rsid w:val="001834BF"/>
    <w:rsid w:val="001850AC"/>
    <w:rsid w:val="00186152"/>
    <w:rsid w:val="001866B9"/>
    <w:rsid w:val="001866D2"/>
    <w:rsid w:val="001904C2"/>
    <w:rsid w:val="001A1797"/>
    <w:rsid w:val="001A4A32"/>
    <w:rsid w:val="001B2313"/>
    <w:rsid w:val="001E2229"/>
    <w:rsid w:val="001E404C"/>
    <w:rsid w:val="001F0E2A"/>
    <w:rsid w:val="001F25BC"/>
    <w:rsid w:val="001F2AC3"/>
    <w:rsid w:val="001F59B4"/>
    <w:rsid w:val="001F7CA1"/>
    <w:rsid w:val="00203687"/>
    <w:rsid w:val="00207107"/>
    <w:rsid w:val="00207CF0"/>
    <w:rsid w:val="002136E0"/>
    <w:rsid w:val="00220C2C"/>
    <w:rsid w:val="00221235"/>
    <w:rsid w:val="00223289"/>
    <w:rsid w:val="002235FE"/>
    <w:rsid w:val="00224E64"/>
    <w:rsid w:val="00227C37"/>
    <w:rsid w:val="002344C2"/>
    <w:rsid w:val="00245D57"/>
    <w:rsid w:val="0024796F"/>
    <w:rsid w:val="00257BDF"/>
    <w:rsid w:val="002608EE"/>
    <w:rsid w:val="00277D15"/>
    <w:rsid w:val="00281B9D"/>
    <w:rsid w:val="0029318F"/>
    <w:rsid w:val="00294736"/>
    <w:rsid w:val="002A528E"/>
    <w:rsid w:val="002B29D5"/>
    <w:rsid w:val="002B5FB9"/>
    <w:rsid w:val="002C74B9"/>
    <w:rsid w:val="002D3229"/>
    <w:rsid w:val="002D3CB0"/>
    <w:rsid w:val="002D4873"/>
    <w:rsid w:val="002D6DB2"/>
    <w:rsid w:val="002E63ED"/>
    <w:rsid w:val="002E68CB"/>
    <w:rsid w:val="002F5606"/>
    <w:rsid w:val="00301FC2"/>
    <w:rsid w:val="00307315"/>
    <w:rsid w:val="00314A6D"/>
    <w:rsid w:val="0032195F"/>
    <w:rsid w:val="00336725"/>
    <w:rsid w:val="003429CA"/>
    <w:rsid w:val="003430AB"/>
    <w:rsid w:val="003447BB"/>
    <w:rsid w:val="003511CD"/>
    <w:rsid w:val="00351598"/>
    <w:rsid w:val="00355614"/>
    <w:rsid w:val="00361D19"/>
    <w:rsid w:val="00362A82"/>
    <w:rsid w:val="00372B29"/>
    <w:rsid w:val="00384F58"/>
    <w:rsid w:val="003866E5"/>
    <w:rsid w:val="003911A5"/>
    <w:rsid w:val="0039493F"/>
    <w:rsid w:val="00395624"/>
    <w:rsid w:val="003A3C98"/>
    <w:rsid w:val="003B186E"/>
    <w:rsid w:val="003B6C2F"/>
    <w:rsid w:val="003C1E66"/>
    <w:rsid w:val="003C2BC9"/>
    <w:rsid w:val="003C66B4"/>
    <w:rsid w:val="003D46B2"/>
    <w:rsid w:val="003D77D4"/>
    <w:rsid w:val="003E46BC"/>
    <w:rsid w:val="003E47E6"/>
    <w:rsid w:val="003E5036"/>
    <w:rsid w:val="003E7FE0"/>
    <w:rsid w:val="003F4A25"/>
    <w:rsid w:val="00403504"/>
    <w:rsid w:val="004038AA"/>
    <w:rsid w:val="004051DD"/>
    <w:rsid w:val="00414B51"/>
    <w:rsid w:val="00425C9C"/>
    <w:rsid w:val="0044226D"/>
    <w:rsid w:val="00451CED"/>
    <w:rsid w:val="00456F2A"/>
    <w:rsid w:val="00467D15"/>
    <w:rsid w:val="00475C10"/>
    <w:rsid w:val="00476E57"/>
    <w:rsid w:val="00480C41"/>
    <w:rsid w:val="00481619"/>
    <w:rsid w:val="00487232"/>
    <w:rsid w:val="004872B0"/>
    <w:rsid w:val="004933DA"/>
    <w:rsid w:val="00496DB8"/>
    <w:rsid w:val="004978BA"/>
    <w:rsid w:val="004A2AD3"/>
    <w:rsid w:val="004B2015"/>
    <w:rsid w:val="004C54E2"/>
    <w:rsid w:val="004C7C26"/>
    <w:rsid w:val="004D031D"/>
    <w:rsid w:val="004D06D8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7025"/>
    <w:rsid w:val="005239E3"/>
    <w:rsid w:val="0052451E"/>
    <w:rsid w:val="00527621"/>
    <w:rsid w:val="0053230E"/>
    <w:rsid w:val="00532C77"/>
    <w:rsid w:val="00537A6A"/>
    <w:rsid w:val="00541CBA"/>
    <w:rsid w:val="00541E13"/>
    <w:rsid w:val="00544694"/>
    <w:rsid w:val="00551112"/>
    <w:rsid w:val="00560ABD"/>
    <w:rsid w:val="00564D82"/>
    <w:rsid w:val="00570584"/>
    <w:rsid w:val="0057619F"/>
    <w:rsid w:val="00584D48"/>
    <w:rsid w:val="005A72ED"/>
    <w:rsid w:val="005B3AF5"/>
    <w:rsid w:val="005C45C8"/>
    <w:rsid w:val="005C50CF"/>
    <w:rsid w:val="005D6747"/>
    <w:rsid w:val="005E00F9"/>
    <w:rsid w:val="005E77CA"/>
    <w:rsid w:val="005F6F5F"/>
    <w:rsid w:val="00625A5B"/>
    <w:rsid w:val="00626CC3"/>
    <w:rsid w:val="00637521"/>
    <w:rsid w:val="00660871"/>
    <w:rsid w:val="00665848"/>
    <w:rsid w:val="00666629"/>
    <w:rsid w:val="00675CDE"/>
    <w:rsid w:val="00685C01"/>
    <w:rsid w:val="00687FA2"/>
    <w:rsid w:val="00697D36"/>
    <w:rsid w:val="006C4451"/>
    <w:rsid w:val="006C4692"/>
    <w:rsid w:val="006D487B"/>
    <w:rsid w:val="006E5B6A"/>
    <w:rsid w:val="006F1B37"/>
    <w:rsid w:val="006F6DDC"/>
    <w:rsid w:val="00704A72"/>
    <w:rsid w:val="00707C57"/>
    <w:rsid w:val="00722EC8"/>
    <w:rsid w:val="00724D70"/>
    <w:rsid w:val="00731ECB"/>
    <w:rsid w:val="00753D94"/>
    <w:rsid w:val="00784BCC"/>
    <w:rsid w:val="0078577B"/>
    <w:rsid w:val="00786C59"/>
    <w:rsid w:val="00787F13"/>
    <w:rsid w:val="007933CE"/>
    <w:rsid w:val="007C68F4"/>
    <w:rsid w:val="007D20C4"/>
    <w:rsid w:val="007D5D14"/>
    <w:rsid w:val="007E010D"/>
    <w:rsid w:val="007E40C4"/>
    <w:rsid w:val="007F49F5"/>
    <w:rsid w:val="00812C1F"/>
    <w:rsid w:val="00820ABB"/>
    <w:rsid w:val="008223BF"/>
    <w:rsid w:val="008424ED"/>
    <w:rsid w:val="00863777"/>
    <w:rsid w:val="00870B50"/>
    <w:rsid w:val="00874408"/>
    <w:rsid w:val="00874F97"/>
    <w:rsid w:val="00877FD9"/>
    <w:rsid w:val="008810B0"/>
    <w:rsid w:val="00882FAE"/>
    <w:rsid w:val="0088464A"/>
    <w:rsid w:val="008866FB"/>
    <w:rsid w:val="00887D23"/>
    <w:rsid w:val="008915A2"/>
    <w:rsid w:val="008A2F6D"/>
    <w:rsid w:val="008D2337"/>
    <w:rsid w:val="008D6FC7"/>
    <w:rsid w:val="008D7A2D"/>
    <w:rsid w:val="008E140D"/>
    <w:rsid w:val="008E3282"/>
    <w:rsid w:val="008F1DF8"/>
    <w:rsid w:val="008F5E40"/>
    <w:rsid w:val="008F64F1"/>
    <w:rsid w:val="00930B59"/>
    <w:rsid w:val="00935B26"/>
    <w:rsid w:val="00937654"/>
    <w:rsid w:val="00942CF1"/>
    <w:rsid w:val="0094503D"/>
    <w:rsid w:val="0094682F"/>
    <w:rsid w:val="00956837"/>
    <w:rsid w:val="00964766"/>
    <w:rsid w:val="009A02D4"/>
    <w:rsid w:val="009A0A32"/>
    <w:rsid w:val="009A2557"/>
    <w:rsid w:val="009A6FEC"/>
    <w:rsid w:val="009C218E"/>
    <w:rsid w:val="009C6981"/>
    <w:rsid w:val="009D2104"/>
    <w:rsid w:val="009D38DB"/>
    <w:rsid w:val="009D5466"/>
    <w:rsid w:val="009D6CE1"/>
    <w:rsid w:val="009E2B0D"/>
    <w:rsid w:val="009E45E3"/>
    <w:rsid w:val="00A0045E"/>
    <w:rsid w:val="00A04529"/>
    <w:rsid w:val="00A12F11"/>
    <w:rsid w:val="00A16BF3"/>
    <w:rsid w:val="00A2734D"/>
    <w:rsid w:val="00A30469"/>
    <w:rsid w:val="00A50AD3"/>
    <w:rsid w:val="00A57850"/>
    <w:rsid w:val="00A66377"/>
    <w:rsid w:val="00A732ED"/>
    <w:rsid w:val="00A74159"/>
    <w:rsid w:val="00A74C00"/>
    <w:rsid w:val="00A75362"/>
    <w:rsid w:val="00A84A11"/>
    <w:rsid w:val="00A91887"/>
    <w:rsid w:val="00AA35D1"/>
    <w:rsid w:val="00AB3CFC"/>
    <w:rsid w:val="00AB7424"/>
    <w:rsid w:val="00AC27DA"/>
    <w:rsid w:val="00AD0AA5"/>
    <w:rsid w:val="00AD79A7"/>
    <w:rsid w:val="00AF1721"/>
    <w:rsid w:val="00AF176D"/>
    <w:rsid w:val="00AF39CE"/>
    <w:rsid w:val="00B0024F"/>
    <w:rsid w:val="00B013DD"/>
    <w:rsid w:val="00B20867"/>
    <w:rsid w:val="00B20FBB"/>
    <w:rsid w:val="00B25808"/>
    <w:rsid w:val="00B25A50"/>
    <w:rsid w:val="00B374B6"/>
    <w:rsid w:val="00B57E3D"/>
    <w:rsid w:val="00B6057C"/>
    <w:rsid w:val="00B674A2"/>
    <w:rsid w:val="00B82387"/>
    <w:rsid w:val="00B973EA"/>
    <w:rsid w:val="00BA2820"/>
    <w:rsid w:val="00BA3B06"/>
    <w:rsid w:val="00BA67F1"/>
    <w:rsid w:val="00BC130E"/>
    <w:rsid w:val="00BC6F7B"/>
    <w:rsid w:val="00BD39BF"/>
    <w:rsid w:val="00BD7806"/>
    <w:rsid w:val="00BE0CDB"/>
    <w:rsid w:val="00BE2260"/>
    <w:rsid w:val="00BE2E8B"/>
    <w:rsid w:val="00BF003E"/>
    <w:rsid w:val="00C12E40"/>
    <w:rsid w:val="00C30148"/>
    <w:rsid w:val="00C35844"/>
    <w:rsid w:val="00C513CA"/>
    <w:rsid w:val="00C665EC"/>
    <w:rsid w:val="00C90362"/>
    <w:rsid w:val="00C97C20"/>
    <w:rsid w:val="00CA2ECB"/>
    <w:rsid w:val="00CA3A8C"/>
    <w:rsid w:val="00CB0322"/>
    <w:rsid w:val="00CC091E"/>
    <w:rsid w:val="00CD0E38"/>
    <w:rsid w:val="00CD2ABA"/>
    <w:rsid w:val="00CE178D"/>
    <w:rsid w:val="00CE4578"/>
    <w:rsid w:val="00CF24D0"/>
    <w:rsid w:val="00D00723"/>
    <w:rsid w:val="00D03F66"/>
    <w:rsid w:val="00D04450"/>
    <w:rsid w:val="00D15AB6"/>
    <w:rsid w:val="00D20038"/>
    <w:rsid w:val="00D2637B"/>
    <w:rsid w:val="00D352EB"/>
    <w:rsid w:val="00D546FA"/>
    <w:rsid w:val="00D60FC9"/>
    <w:rsid w:val="00D6293C"/>
    <w:rsid w:val="00D651EF"/>
    <w:rsid w:val="00D70232"/>
    <w:rsid w:val="00D719E6"/>
    <w:rsid w:val="00D75698"/>
    <w:rsid w:val="00D8367A"/>
    <w:rsid w:val="00D94AD1"/>
    <w:rsid w:val="00DA05EA"/>
    <w:rsid w:val="00DA277A"/>
    <w:rsid w:val="00DB2C55"/>
    <w:rsid w:val="00DB35FD"/>
    <w:rsid w:val="00DB3DB1"/>
    <w:rsid w:val="00DC45CD"/>
    <w:rsid w:val="00DD15FE"/>
    <w:rsid w:val="00DD1DD8"/>
    <w:rsid w:val="00DD518B"/>
    <w:rsid w:val="00DD7E16"/>
    <w:rsid w:val="00DE114B"/>
    <w:rsid w:val="00DE1A89"/>
    <w:rsid w:val="00DE2427"/>
    <w:rsid w:val="00E1477D"/>
    <w:rsid w:val="00E26009"/>
    <w:rsid w:val="00E34DCF"/>
    <w:rsid w:val="00E431D4"/>
    <w:rsid w:val="00E52466"/>
    <w:rsid w:val="00E71C91"/>
    <w:rsid w:val="00E76426"/>
    <w:rsid w:val="00E85EA0"/>
    <w:rsid w:val="00E90547"/>
    <w:rsid w:val="00EA0DB2"/>
    <w:rsid w:val="00EA4319"/>
    <w:rsid w:val="00EA5FCA"/>
    <w:rsid w:val="00EB1745"/>
    <w:rsid w:val="00EB2180"/>
    <w:rsid w:val="00EB2933"/>
    <w:rsid w:val="00EB4FA2"/>
    <w:rsid w:val="00EB7D1B"/>
    <w:rsid w:val="00EC30CE"/>
    <w:rsid w:val="00EC6CAE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683B"/>
    <w:rsid w:val="00F17913"/>
    <w:rsid w:val="00F20002"/>
    <w:rsid w:val="00F21C77"/>
    <w:rsid w:val="00F232E1"/>
    <w:rsid w:val="00F26CAB"/>
    <w:rsid w:val="00F2722E"/>
    <w:rsid w:val="00F272A0"/>
    <w:rsid w:val="00F41532"/>
    <w:rsid w:val="00F551CF"/>
    <w:rsid w:val="00F61148"/>
    <w:rsid w:val="00F70A62"/>
    <w:rsid w:val="00F731FE"/>
    <w:rsid w:val="00F73DD0"/>
    <w:rsid w:val="00F843C6"/>
    <w:rsid w:val="00F850D2"/>
    <w:rsid w:val="00F918DC"/>
    <w:rsid w:val="00FC573E"/>
    <w:rsid w:val="00FD01EE"/>
    <w:rsid w:val="00FD2EA7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F7662"/>
  <w15:chartTrackingRefBased/>
  <w15:docId w15:val="{8D179CF1-BF1E-48FB-99E6-D3B0C251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15"/>
  </w:style>
  <w:style w:type="paragraph" w:styleId="Heading1">
    <w:name w:val="heading 1"/>
    <w:basedOn w:val="Normal"/>
    <w:next w:val="Normal"/>
    <w:link w:val="Heading1Char"/>
    <w:uiPriority w:val="9"/>
    <w:qFormat/>
    <w:rsid w:val="00D35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F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A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45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456F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52E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52E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A4A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D1B"/>
  </w:style>
  <w:style w:type="paragraph" w:styleId="Footer">
    <w:name w:val="footer"/>
    <w:basedOn w:val="Normal"/>
    <w:link w:val="FooterChar"/>
    <w:uiPriority w:val="99"/>
    <w:unhideWhenUsed/>
    <w:rsid w:val="00EB7D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D1B"/>
  </w:style>
  <w:style w:type="character" w:styleId="Hyperlink">
    <w:name w:val="Hyperlink"/>
    <w:basedOn w:val="DefaultParagraphFont"/>
    <w:uiPriority w:val="99"/>
    <w:unhideWhenUsed/>
    <w:rsid w:val="00EB7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7D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64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uckland.ac.nz/en/about-us/about-the-university/equity-at-the-university/about-equity/what-is-equity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about/the-university/how-university-works/policy-and-administration/human-resources1/recruitment--appointment-and-induction/professional-staff-recruitment--selection-and-appointment-proced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250A-AFAF-4672-93B2-C26AFDAF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17</cp:revision>
  <dcterms:created xsi:type="dcterms:W3CDTF">2020-07-06T23:24:00Z</dcterms:created>
  <dcterms:modified xsi:type="dcterms:W3CDTF">2021-11-07T22:32:00Z</dcterms:modified>
</cp:coreProperties>
</file>