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B672" w14:textId="5614C71F" w:rsidR="000728C9" w:rsidRDefault="009D2BA1" w:rsidP="0063013C">
      <w:pPr>
        <w:pStyle w:val="Heading1"/>
      </w:pPr>
      <w:r>
        <w:t>Step 1: Prior to Recruitment</w:t>
      </w:r>
      <w:r w:rsidR="0063013C">
        <w:t xml:space="preserve"> - Preparation and Capability Building</w:t>
      </w:r>
    </w:p>
    <w:p w14:paraId="7627CC1F" w14:textId="6FCEB59F" w:rsidR="001378F6" w:rsidRDefault="001378F6" w:rsidP="001378F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55"/>
        <w:gridCol w:w="6012"/>
      </w:tblGrid>
      <w:tr w:rsidR="000728C9" w:rsidRPr="004A1550" w14:paraId="7CD89906" w14:textId="77777777" w:rsidTr="00C05630">
        <w:tc>
          <w:tcPr>
            <w:tcW w:w="3055" w:type="dxa"/>
            <w:shd w:val="clear" w:color="auto" w:fill="D9D9D9" w:themeFill="background1" w:themeFillShade="D9"/>
          </w:tcPr>
          <w:p w14:paraId="436ACBB0" w14:textId="77777777" w:rsidR="000728C9" w:rsidRPr="004A1550" w:rsidRDefault="000728C9" w:rsidP="007A22A2">
            <w:pPr>
              <w:rPr>
                <w:b/>
                <w:bCs/>
              </w:rPr>
            </w:pPr>
            <w:r w:rsidRPr="004A1550">
              <w:rPr>
                <w:b/>
                <w:bCs/>
              </w:rPr>
              <w:t>Recommendation</w:t>
            </w:r>
          </w:p>
        </w:tc>
        <w:tc>
          <w:tcPr>
            <w:tcW w:w="6012" w:type="dxa"/>
            <w:shd w:val="clear" w:color="auto" w:fill="D9D9D9" w:themeFill="background1" w:themeFillShade="D9"/>
          </w:tcPr>
          <w:p w14:paraId="731505F6" w14:textId="3D99CA47" w:rsidR="000728C9" w:rsidRPr="004A1550" w:rsidRDefault="001564A4" w:rsidP="007A22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Considerations and </w:t>
            </w:r>
            <w:r w:rsidR="000728C9" w:rsidRPr="004A1550">
              <w:rPr>
                <w:b/>
                <w:bCs/>
              </w:rPr>
              <w:t>Actions</w:t>
            </w:r>
          </w:p>
          <w:p w14:paraId="0892A535" w14:textId="77777777" w:rsidR="000728C9" w:rsidRPr="004A1550" w:rsidRDefault="000728C9" w:rsidP="007A22A2">
            <w:pPr>
              <w:rPr>
                <w:b/>
                <w:bCs/>
              </w:rPr>
            </w:pPr>
          </w:p>
        </w:tc>
      </w:tr>
      <w:tr w:rsidR="00CD5130" w14:paraId="286DAD4E" w14:textId="77777777" w:rsidTr="00D33279">
        <w:trPr>
          <w:trHeight w:val="2757"/>
        </w:trPr>
        <w:tc>
          <w:tcPr>
            <w:tcW w:w="3055" w:type="dxa"/>
          </w:tcPr>
          <w:p w14:paraId="5738ADDB" w14:textId="2AB3274E" w:rsidR="00CD5130" w:rsidRPr="004D3AC8" w:rsidRDefault="00CD5130" w:rsidP="00CD5130">
            <w:r>
              <w:rPr>
                <w:color w:val="auto"/>
              </w:rPr>
              <w:t>Regularly t</w:t>
            </w:r>
            <w:r w:rsidRPr="003C2D35">
              <w:rPr>
                <w:color w:val="auto"/>
              </w:rPr>
              <w:t xml:space="preserve">rack and monitor the recruitment process </w:t>
            </w:r>
            <w:r>
              <w:rPr>
                <w:color w:val="auto"/>
              </w:rPr>
              <w:t xml:space="preserve">within the faculty/division/department </w:t>
            </w:r>
            <w:r w:rsidRPr="003C2D35">
              <w:rPr>
                <w:color w:val="auto"/>
              </w:rPr>
              <w:t>to identify</w:t>
            </w:r>
            <w:r w:rsidR="00B90B37">
              <w:rPr>
                <w:color w:val="auto"/>
              </w:rPr>
              <w:t xml:space="preserve"> the employee profile and</w:t>
            </w:r>
            <w:r w:rsidRPr="003C2D35">
              <w:rPr>
                <w:color w:val="auto"/>
              </w:rPr>
              <w:t xml:space="preserve"> if and/or where bias may be occurring</w:t>
            </w:r>
          </w:p>
        </w:tc>
        <w:tc>
          <w:tcPr>
            <w:tcW w:w="6012" w:type="dxa"/>
          </w:tcPr>
          <w:p w14:paraId="40DCF1ED" w14:textId="77777777" w:rsidR="00CD5130" w:rsidRPr="003C2D35" w:rsidRDefault="00CD5130" w:rsidP="00CD5130">
            <w:pPr>
              <w:rPr>
                <w:color w:val="auto"/>
              </w:rPr>
            </w:pPr>
            <w:r w:rsidRPr="003C2D35">
              <w:rPr>
                <w:color w:val="auto"/>
              </w:rPr>
              <w:t xml:space="preserve">Measure each step to understand if you are attracting Māori, women, people with disabilities, Pacific </w:t>
            </w:r>
            <w:proofErr w:type="gramStart"/>
            <w:r w:rsidRPr="003C2D35">
              <w:rPr>
                <w:color w:val="auto"/>
              </w:rPr>
              <w:t>people</w:t>
            </w:r>
            <w:proofErr w:type="gramEnd"/>
            <w:r>
              <w:rPr>
                <w:color w:val="auto"/>
              </w:rPr>
              <w:t xml:space="preserve"> </w:t>
            </w:r>
            <w:r w:rsidRPr="003C2D35">
              <w:rPr>
                <w:color w:val="auto"/>
              </w:rPr>
              <w:t>and other equity groups, and whether their proportion declines at any point of the recruitment process.</w:t>
            </w:r>
          </w:p>
          <w:p w14:paraId="7739F859" w14:textId="77777777" w:rsidR="00CD5130" w:rsidRDefault="00CD5130" w:rsidP="00CD5130">
            <w:pPr>
              <w:rPr>
                <w:color w:val="auto"/>
              </w:rPr>
            </w:pPr>
          </w:p>
          <w:p w14:paraId="05F953B7" w14:textId="77777777" w:rsidR="00CD5130" w:rsidRPr="00E26B45" w:rsidRDefault="00CD5130" w:rsidP="00CD5130">
            <w:pPr>
              <w:rPr>
                <w:b/>
                <w:bCs/>
                <w:color w:val="auto"/>
              </w:rPr>
            </w:pPr>
            <w:r w:rsidRPr="00E26B45">
              <w:rPr>
                <w:b/>
                <w:bCs/>
                <w:color w:val="auto"/>
              </w:rPr>
              <w:t>Use Smart Recruiter to determine:</w:t>
            </w:r>
          </w:p>
          <w:p w14:paraId="490D3DD1" w14:textId="77777777" w:rsidR="00CD5130" w:rsidRPr="003C2D35" w:rsidRDefault="00CD5130" w:rsidP="00CD513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3C2D35">
              <w:rPr>
                <w:rFonts w:ascii="Segoe UI" w:hAnsi="Segoe UI" w:cs="Segoe UI"/>
              </w:rPr>
              <w:t>Where vacancies are advertised</w:t>
            </w:r>
          </w:p>
          <w:p w14:paraId="1C094675" w14:textId="77777777" w:rsidR="00CD5130" w:rsidRPr="003C2D35" w:rsidRDefault="00CD5130" w:rsidP="00CD513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3C2D35">
              <w:rPr>
                <w:rFonts w:ascii="Segoe UI" w:hAnsi="Segoe UI" w:cs="Segoe UI"/>
              </w:rPr>
              <w:t>Applications by gender, ethnicity, age and if declared, disability status</w:t>
            </w:r>
          </w:p>
          <w:p w14:paraId="2AE0AD94" w14:textId="77777777" w:rsidR="00CD5130" w:rsidRDefault="00CD5130" w:rsidP="00CD513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3C2D35">
              <w:rPr>
                <w:rFonts w:ascii="Segoe UI" w:hAnsi="Segoe UI" w:cs="Segoe UI"/>
              </w:rPr>
              <w:t>Comparison of th</w:t>
            </w:r>
            <w:r>
              <w:rPr>
                <w:rFonts w:ascii="Segoe UI" w:hAnsi="Segoe UI" w:cs="Segoe UI"/>
              </w:rPr>
              <w:t xml:space="preserve">at composition compared to long lists, short lists, </w:t>
            </w:r>
            <w:proofErr w:type="gramStart"/>
            <w:r>
              <w:rPr>
                <w:rFonts w:ascii="Segoe UI" w:hAnsi="Segoe UI" w:cs="Segoe UI"/>
              </w:rPr>
              <w:t>interviews</w:t>
            </w:r>
            <w:proofErr w:type="gramEnd"/>
            <w:r>
              <w:rPr>
                <w:rFonts w:ascii="Segoe UI" w:hAnsi="Segoe UI" w:cs="Segoe UI"/>
              </w:rPr>
              <w:t xml:space="preserve"> and appointments</w:t>
            </w:r>
          </w:p>
          <w:p w14:paraId="086FCDA7" w14:textId="77777777" w:rsidR="00CD5130" w:rsidRDefault="00CD5130" w:rsidP="00CD513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Composition at the different </w:t>
            </w:r>
            <w:proofErr w:type="gramStart"/>
            <w:r>
              <w:rPr>
                <w:rFonts w:ascii="Segoe UI" w:hAnsi="Segoe UI" w:cs="Segoe UI"/>
              </w:rPr>
              <w:t>levels;</w:t>
            </w:r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eg</w:t>
            </w:r>
            <w:proofErr w:type="spellEnd"/>
            <w:r>
              <w:rPr>
                <w:rFonts w:ascii="Segoe UI" w:hAnsi="Segoe UI" w:cs="Segoe UI"/>
              </w:rPr>
              <w:t xml:space="preserve"> AP, SL, Snr Professional, below Level 6, etc  </w:t>
            </w:r>
          </w:p>
          <w:p w14:paraId="44312CB3" w14:textId="77777777" w:rsidR="00CD5130" w:rsidRDefault="00CD5130" w:rsidP="00CD513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Composition by various job families and/or departments</w:t>
            </w:r>
          </w:p>
          <w:p w14:paraId="2D8CAF3D" w14:textId="77777777" w:rsidR="00CD5130" w:rsidRDefault="00CD5130" w:rsidP="00CD513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Gender and ethnic composition of interview panels</w:t>
            </w:r>
          </w:p>
          <w:p w14:paraId="092B7355" w14:textId="77777777" w:rsidR="00CD5130" w:rsidRDefault="00CD5130" w:rsidP="00CD513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Starting salaries </w:t>
            </w:r>
          </w:p>
          <w:p w14:paraId="62F431E2" w14:textId="77777777" w:rsidR="00CD5130" w:rsidRPr="00C114FA" w:rsidRDefault="00CD5130" w:rsidP="00CD5130">
            <w:pPr>
              <w:pStyle w:val="ListParagraph"/>
              <w:ind w:left="360"/>
              <w:rPr>
                <w:rFonts w:ascii="Segoe UI" w:hAnsi="Segoe UI" w:cs="Segoe UI"/>
              </w:rPr>
            </w:pPr>
          </w:p>
          <w:p w14:paraId="4D2A992C" w14:textId="77777777" w:rsidR="00CD5130" w:rsidRPr="00CD5130" w:rsidRDefault="00CD5130" w:rsidP="00CD5130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CD5130">
              <w:t xml:space="preserve">Determine applicant’s experience of the recruitment process (this is a qualitative measure) especially feedback from Māori, </w:t>
            </w:r>
            <w:proofErr w:type="gramStart"/>
            <w:r w:rsidRPr="00CD5130">
              <w:t>women</w:t>
            </w:r>
            <w:proofErr w:type="gramEnd"/>
            <w:r w:rsidRPr="00CD5130">
              <w:t xml:space="preserve"> and other equity groups.</w:t>
            </w:r>
          </w:p>
          <w:p w14:paraId="7643004D" w14:textId="77777777" w:rsidR="00CD5130" w:rsidRDefault="00CD5130" w:rsidP="00CD5130">
            <w:pPr>
              <w:rPr>
                <w:color w:val="auto"/>
              </w:rPr>
            </w:pPr>
          </w:p>
          <w:p w14:paraId="036F8994" w14:textId="0B021DAB" w:rsidR="00CD5130" w:rsidRDefault="00CD5130" w:rsidP="00CD5130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CD5130">
              <w:t>Obtain retention data by equity and role groupings and reasons for leaving in exit interviews.</w:t>
            </w:r>
          </w:p>
          <w:p w14:paraId="002E82DA" w14:textId="77777777" w:rsidR="00B5305F" w:rsidRDefault="00B5305F" w:rsidP="00B5305F">
            <w:pPr>
              <w:pStyle w:val="ListParagraph"/>
            </w:pPr>
          </w:p>
          <w:p w14:paraId="6B38E177" w14:textId="3993177A" w:rsidR="00B5305F" w:rsidRPr="00CD5130" w:rsidRDefault="00B5305F" w:rsidP="00CD5130">
            <w:pPr>
              <w:pStyle w:val="ListParagraph"/>
              <w:numPr>
                <w:ilvl w:val="0"/>
                <w:numId w:val="13"/>
              </w:numPr>
              <w:ind w:left="360"/>
            </w:pPr>
            <w:r>
              <w:t xml:space="preserve">View the </w:t>
            </w:r>
            <w:hyperlink r:id="rId8" w:history="1">
              <w:r>
                <w:rPr>
                  <w:rStyle w:val="Hyperlink"/>
                </w:rPr>
                <w:t>Equity Profile 2020</w:t>
              </w:r>
            </w:hyperlink>
            <w:r>
              <w:t xml:space="preserve"> for details on equity staff and student groups</w:t>
            </w:r>
            <w:r w:rsidR="00DE4F69">
              <w:rPr>
                <w:rStyle w:val="FootnoteReference"/>
              </w:rPr>
              <w:footnoteReference w:id="1"/>
            </w:r>
            <w:r>
              <w:t xml:space="preserve">. Appendix 3 has a brief summary of some overall </w:t>
            </w:r>
            <w:proofErr w:type="spellStart"/>
            <w:proofErr w:type="gramStart"/>
            <w:r>
              <w:t>statistics.z</w:t>
            </w:r>
            <w:proofErr w:type="spellEnd"/>
            <w:proofErr w:type="gramEnd"/>
            <w:r>
              <w:t xml:space="preserve"> </w:t>
            </w:r>
          </w:p>
          <w:p w14:paraId="34728539" w14:textId="77777777" w:rsidR="00CD5130" w:rsidRDefault="00CD5130" w:rsidP="00CD5130"/>
        </w:tc>
      </w:tr>
      <w:tr w:rsidR="009D2BA1" w14:paraId="5E7C4A1D" w14:textId="77777777" w:rsidTr="00D33279">
        <w:trPr>
          <w:trHeight w:val="2757"/>
        </w:trPr>
        <w:tc>
          <w:tcPr>
            <w:tcW w:w="3055" w:type="dxa"/>
          </w:tcPr>
          <w:p w14:paraId="52E6EC9F" w14:textId="77777777" w:rsidR="009D2BA1" w:rsidRDefault="003D220A" w:rsidP="009D2BA1">
            <w:r w:rsidRPr="004D3AC8">
              <w:lastRenderedPageBreak/>
              <w:t xml:space="preserve">Articulate the </w:t>
            </w:r>
            <w:r>
              <w:t>faculty/division/d</w:t>
            </w:r>
            <w:r w:rsidRPr="004D3AC8">
              <w:t>epartment’s commitment to</w:t>
            </w:r>
            <w:r>
              <w:t xml:space="preserve"> equity, </w:t>
            </w:r>
            <w:proofErr w:type="gramStart"/>
            <w:r>
              <w:t>inclusion</w:t>
            </w:r>
            <w:proofErr w:type="gramEnd"/>
            <w:r>
              <w:t xml:space="preserve"> and</w:t>
            </w:r>
            <w:r w:rsidRPr="004D3AC8">
              <w:t xml:space="preserve"> diversity</w:t>
            </w:r>
            <w:r>
              <w:t xml:space="preserve"> </w:t>
            </w:r>
          </w:p>
          <w:p w14:paraId="66FB6B4C" w14:textId="0FB2A169" w:rsidR="005B7941" w:rsidRDefault="005B7941" w:rsidP="009D2BA1"/>
        </w:tc>
        <w:tc>
          <w:tcPr>
            <w:tcW w:w="6012" w:type="dxa"/>
          </w:tcPr>
          <w:p w14:paraId="3D80216C" w14:textId="3F585987" w:rsidR="009D2BA1" w:rsidRPr="00B90B37" w:rsidRDefault="003D220A" w:rsidP="009D2BA1">
            <w:pPr>
              <w:rPr>
                <w:color w:val="auto"/>
              </w:rPr>
            </w:pPr>
            <w:r w:rsidRPr="00B90B37">
              <w:rPr>
                <w:color w:val="auto"/>
              </w:rPr>
              <w:t xml:space="preserve">Include an objective </w:t>
            </w:r>
            <w:r w:rsidR="004733F2">
              <w:rPr>
                <w:color w:val="auto"/>
              </w:rPr>
              <w:t xml:space="preserve">and KPIs </w:t>
            </w:r>
            <w:r w:rsidRPr="00B90B37">
              <w:rPr>
                <w:color w:val="auto"/>
              </w:rPr>
              <w:t>to increas</w:t>
            </w:r>
            <w:r w:rsidR="004733F2">
              <w:rPr>
                <w:color w:val="auto"/>
              </w:rPr>
              <w:t>e</w:t>
            </w:r>
            <w:r w:rsidRPr="00B90B37">
              <w:rPr>
                <w:color w:val="auto"/>
              </w:rPr>
              <w:t xml:space="preserve"> Māori and equity group participation</w:t>
            </w:r>
            <w:r w:rsidR="004733F2">
              <w:rPr>
                <w:color w:val="auto"/>
              </w:rPr>
              <w:t xml:space="preserve"> and representation </w:t>
            </w:r>
            <w:r w:rsidRPr="00B90B37">
              <w:rPr>
                <w:color w:val="auto"/>
              </w:rPr>
              <w:t>in strategic plans</w:t>
            </w:r>
          </w:p>
          <w:p w14:paraId="18229534" w14:textId="01C2B699" w:rsidR="005B7941" w:rsidRDefault="005B7941" w:rsidP="009D2BA1"/>
          <w:p w14:paraId="25E3C2BB" w14:textId="74A5FC95" w:rsidR="005B7941" w:rsidRPr="00D33279" w:rsidRDefault="005B7941" w:rsidP="009D2BA1">
            <w:pPr>
              <w:rPr>
                <w:b/>
                <w:bCs/>
              </w:rPr>
            </w:pPr>
            <w:r w:rsidRPr="00D33279">
              <w:rPr>
                <w:b/>
                <w:bCs/>
              </w:rPr>
              <w:t>Examples:</w:t>
            </w:r>
          </w:p>
          <w:p w14:paraId="3A18B2F0" w14:textId="5D971840" w:rsidR="005B7941" w:rsidRPr="00D33279" w:rsidRDefault="005B7941" w:rsidP="00D33279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374"/>
              <w:rPr>
                <w:rFonts w:ascii="Segoe UI" w:hAnsi="Segoe UI" w:cs="Segoe UI"/>
              </w:rPr>
            </w:pPr>
            <w:r w:rsidRPr="00D33279">
              <w:rPr>
                <w:rFonts w:ascii="Segoe UI" w:hAnsi="Segoe UI" w:cs="Segoe UI"/>
              </w:rPr>
              <w:t>Enhance gender diversity by increasing the hiring of women into lectureship positions by no less than 10% by 202</w:t>
            </w:r>
            <w:r w:rsidR="00D33279">
              <w:rPr>
                <w:rFonts w:ascii="Segoe UI" w:hAnsi="Segoe UI" w:cs="Segoe UI"/>
              </w:rPr>
              <w:t>3</w:t>
            </w:r>
          </w:p>
          <w:p w14:paraId="565037DF" w14:textId="766678DC" w:rsidR="003D220A" w:rsidRPr="00B90B37" w:rsidRDefault="005B7941" w:rsidP="00B90B3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374"/>
              <w:rPr>
                <w:rFonts w:ascii="Segoe UI" w:hAnsi="Segoe UI" w:cs="Segoe UI"/>
              </w:rPr>
            </w:pPr>
            <w:r w:rsidRPr="00D33279">
              <w:rPr>
                <w:rFonts w:ascii="Segoe UI" w:hAnsi="Segoe UI" w:cs="Segoe UI"/>
              </w:rPr>
              <w:t xml:space="preserve">Develop staff recruitment principles and practices that are explicit about Te </w:t>
            </w:r>
            <w:proofErr w:type="spellStart"/>
            <w:r w:rsidRPr="00D33279">
              <w:rPr>
                <w:rFonts w:ascii="Segoe UI" w:hAnsi="Segoe UI" w:cs="Segoe UI"/>
              </w:rPr>
              <w:t>Tiriti</w:t>
            </w:r>
            <w:proofErr w:type="spellEnd"/>
            <w:r w:rsidRPr="00D33279">
              <w:rPr>
                <w:rFonts w:ascii="Segoe UI" w:hAnsi="Segoe UI" w:cs="Segoe UI"/>
              </w:rPr>
              <w:t xml:space="preserve"> and equity considerations.</w:t>
            </w:r>
          </w:p>
        </w:tc>
      </w:tr>
      <w:tr w:rsidR="009D2BA1" w14:paraId="5D01B6A3" w14:textId="77777777" w:rsidTr="00C05630">
        <w:tc>
          <w:tcPr>
            <w:tcW w:w="3055" w:type="dxa"/>
          </w:tcPr>
          <w:p w14:paraId="284892AB" w14:textId="77777777" w:rsidR="003D220A" w:rsidRPr="00E01637" w:rsidRDefault="003D220A" w:rsidP="00E01637">
            <w:r w:rsidRPr="00E01637">
              <w:t>Ensure an inclusive departmental climate and culture where all identities are respected and have a voice</w:t>
            </w:r>
          </w:p>
          <w:p w14:paraId="61342E26" w14:textId="77777777" w:rsidR="009D2BA1" w:rsidRDefault="009D2BA1" w:rsidP="009D2BA1"/>
        </w:tc>
        <w:tc>
          <w:tcPr>
            <w:tcW w:w="6012" w:type="dxa"/>
          </w:tcPr>
          <w:p w14:paraId="107E92E0" w14:textId="487317DB" w:rsidR="009D2BA1" w:rsidRPr="00390D97" w:rsidRDefault="006D4BF0" w:rsidP="006D4BF0">
            <w:pPr>
              <w:autoSpaceDE w:val="0"/>
              <w:autoSpaceDN w:val="0"/>
              <w:adjustRightInd w:val="0"/>
              <w:rPr>
                <w:color w:val="333332"/>
                <w:lang w:val="en-US"/>
              </w:rPr>
            </w:pPr>
            <w:r w:rsidRPr="00390D97">
              <w:rPr>
                <w:color w:val="333332"/>
                <w:lang w:val="en-US"/>
              </w:rPr>
              <w:t>Build awareness among all staff involved in the</w:t>
            </w:r>
            <w:r w:rsidR="00CD5130">
              <w:rPr>
                <w:color w:val="333332"/>
                <w:lang w:val="en-US"/>
              </w:rPr>
              <w:t xml:space="preserve"> </w:t>
            </w:r>
            <w:r w:rsidRPr="00390D97">
              <w:rPr>
                <w:color w:val="333332"/>
                <w:lang w:val="en-US"/>
              </w:rPr>
              <w:t xml:space="preserve">recruitment process of </w:t>
            </w:r>
            <w:r w:rsidR="004733F2">
              <w:rPr>
                <w:color w:val="333332"/>
                <w:lang w:val="en-US"/>
              </w:rPr>
              <w:t xml:space="preserve">different </w:t>
            </w:r>
            <w:r w:rsidR="00C631F9" w:rsidRPr="00390D97">
              <w:rPr>
                <w:color w:val="333332"/>
                <w:lang w:val="en-US"/>
              </w:rPr>
              <w:t>social identities</w:t>
            </w:r>
            <w:r w:rsidR="004733F2">
              <w:rPr>
                <w:rStyle w:val="FootnoteReference"/>
                <w:color w:val="333332"/>
                <w:lang w:val="en-US"/>
              </w:rPr>
              <w:footnoteReference w:id="2"/>
            </w:r>
            <w:r w:rsidR="004733F2">
              <w:rPr>
                <w:color w:val="333332"/>
                <w:lang w:val="en-US"/>
              </w:rPr>
              <w:t xml:space="preserve"> (cultures, social groups </w:t>
            </w:r>
            <w:proofErr w:type="spellStart"/>
            <w:r w:rsidR="004733F2">
              <w:rPr>
                <w:color w:val="333332"/>
                <w:lang w:val="en-US"/>
              </w:rPr>
              <w:t>etc</w:t>
            </w:r>
            <w:proofErr w:type="spellEnd"/>
            <w:r w:rsidR="004733F2">
              <w:rPr>
                <w:color w:val="333332"/>
                <w:lang w:val="en-US"/>
              </w:rPr>
              <w:t>)</w:t>
            </w:r>
            <w:r w:rsidR="00CD5130">
              <w:rPr>
                <w:color w:val="333332"/>
                <w:lang w:val="en-US"/>
              </w:rPr>
              <w:t>,</w:t>
            </w:r>
            <w:r w:rsidR="00C631F9" w:rsidRPr="00390D97">
              <w:rPr>
                <w:color w:val="333332"/>
                <w:lang w:val="en-US"/>
              </w:rPr>
              <w:t xml:space="preserve"> developing an inclusive workplace and exploring privilege, </w:t>
            </w:r>
            <w:r w:rsidRPr="00390D97">
              <w:rPr>
                <w:color w:val="333332"/>
                <w:lang w:val="en-US"/>
              </w:rPr>
              <w:t>the impact of gender, racial and other biases and how to mitigate them.</w:t>
            </w:r>
          </w:p>
          <w:p w14:paraId="47FA2EB4" w14:textId="77777777" w:rsidR="009B690B" w:rsidRPr="00390D97" w:rsidRDefault="009B690B" w:rsidP="006D4BF0">
            <w:pPr>
              <w:autoSpaceDE w:val="0"/>
              <w:autoSpaceDN w:val="0"/>
              <w:adjustRightInd w:val="0"/>
              <w:rPr>
                <w:b/>
                <w:bCs/>
                <w:color w:val="333332"/>
                <w:lang w:val="en-US"/>
              </w:rPr>
            </w:pPr>
          </w:p>
          <w:p w14:paraId="3E9FDD61" w14:textId="136C976F" w:rsidR="006D4BF0" w:rsidRPr="00390D97" w:rsidRDefault="006D4BF0" w:rsidP="006D4BF0">
            <w:pPr>
              <w:autoSpaceDE w:val="0"/>
              <w:autoSpaceDN w:val="0"/>
              <w:adjustRightInd w:val="0"/>
              <w:rPr>
                <w:b/>
                <w:bCs/>
                <w:color w:val="333332"/>
                <w:lang w:val="en-US"/>
              </w:rPr>
            </w:pPr>
            <w:r w:rsidRPr="00390D97">
              <w:rPr>
                <w:b/>
                <w:bCs/>
                <w:color w:val="333332"/>
                <w:lang w:val="en-US"/>
              </w:rPr>
              <w:t>Examples:</w:t>
            </w:r>
          </w:p>
          <w:p w14:paraId="5144A825" w14:textId="3E2F14F4" w:rsidR="006D4BF0" w:rsidRPr="00390D97" w:rsidRDefault="006D4BF0" w:rsidP="006D4B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390D97">
              <w:rPr>
                <w:rFonts w:ascii="Segoe UI" w:hAnsi="Segoe UI" w:cs="Segoe UI"/>
              </w:rPr>
              <w:t xml:space="preserve">Discuss the </w:t>
            </w:r>
            <w:r w:rsidR="005B7941" w:rsidRPr="00390D97">
              <w:rPr>
                <w:rFonts w:ascii="Segoe UI" w:hAnsi="Segoe UI" w:cs="Segoe UI"/>
              </w:rPr>
              <w:t xml:space="preserve">faculty/division’s Staff Survey </w:t>
            </w:r>
            <w:r w:rsidR="00397D1F" w:rsidRPr="00390D97">
              <w:rPr>
                <w:rFonts w:ascii="Segoe UI" w:hAnsi="Segoe UI" w:cs="Segoe UI"/>
              </w:rPr>
              <w:t xml:space="preserve">responses from Māori and equity groups, </w:t>
            </w:r>
            <w:r w:rsidRPr="00390D97">
              <w:rPr>
                <w:rFonts w:ascii="Segoe UI" w:hAnsi="Segoe UI" w:cs="Segoe UI"/>
              </w:rPr>
              <w:t xml:space="preserve">that indicate issues of concern </w:t>
            </w:r>
            <w:r w:rsidR="00397D1F" w:rsidRPr="00390D97">
              <w:rPr>
                <w:rFonts w:ascii="Segoe UI" w:hAnsi="Segoe UI" w:cs="Segoe UI"/>
              </w:rPr>
              <w:t>and how they</w:t>
            </w:r>
            <w:r w:rsidRPr="00390D97">
              <w:rPr>
                <w:rFonts w:ascii="Segoe UI" w:hAnsi="Segoe UI" w:cs="Segoe UI"/>
              </w:rPr>
              <w:t xml:space="preserve"> could be addressed </w:t>
            </w:r>
          </w:p>
          <w:p w14:paraId="150358C4" w14:textId="3A822347" w:rsidR="00397D1F" w:rsidRPr="00390D97" w:rsidRDefault="00397D1F" w:rsidP="007F28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390D97">
              <w:rPr>
                <w:rFonts w:ascii="Segoe UI" w:hAnsi="Segoe UI" w:cs="Segoe UI"/>
              </w:rPr>
              <w:t xml:space="preserve">Support staff in familiarisation </w:t>
            </w:r>
            <w:r w:rsidRPr="004733F2">
              <w:rPr>
                <w:rFonts w:ascii="Segoe UI" w:hAnsi="Segoe UI" w:cs="Segoe UI"/>
              </w:rPr>
              <w:t>with</w:t>
            </w:r>
            <w:r w:rsidR="004733F2" w:rsidRPr="004733F2">
              <w:rPr>
                <w:rFonts w:ascii="Segoe UI" w:hAnsi="Segoe UI" w:cs="Segoe UI"/>
              </w:rPr>
              <w:t xml:space="preserve"> </w:t>
            </w:r>
            <w:hyperlink r:id="rId9" w:history="1">
              <w:proofErr w:type="spellStart"/>
              <w:r w:rsidR="004733F2" w:rsidRPr="004733F2">
                <w:rPr>
                  <w:rStyle w:val="Hyperlink"/>
                  <w:rFonts w:ascii="Segoe UI" w:hAnsi="Segoe UI" w:cs="Segoe UI"/>
                </w:rPr>
                <w:t>Taumata</w:t>
              </w:r>
              <w:proofErr w:type="spellEnd"/>
              <w:r w:rsidR="004733F2" w:rsidRPr="004733F2">
                <w:rPr>
                  <w:rStyle w:val="Hyperlink"/>
                  <w:rFonts w:ascii="Segoe UI" w:hAnsi="Segoe UI" w:cs="Segoe UI"/>
                </w:rPr>
                <w:t xml:space="preserve"> </w:t>
              </w:r>
              <w:proofErr w:type="spellStart"/>
              <w:r w:rsidR="004733F2" w:rsidRPr="004733F2">
                <w:rPr>
                  <w:rStyle w:val="Hyperlink"/>
                  <w:rFonts w:ascii="Segoe UI" w:hAnsi="Segoe UI" w:cs="Segoe UI"/>
                </w:rPr>
                <w:t>teitei</w:t>
              </w:r>
              <w:proofErr w:type="spellEnd"/>
            </w:hyperlink>
            <w:r w:rsidR="004733F2" w:rsidRPr="004733F2">
              <w:rPr>
                <w:rStyle w:val="Hyperlink"/>
                <w:rFonts w:ascii="Segoe UI" w:hAnsi="Segoe UI" w:cs="Segoe UI"/>
              </w:rPr>
              <w:t>,</w:t>
            </w:r>
            <w:r w:rsidR="004733F2">
              <w:rPr>
                <w:rStyle w:val="Hyperlink"/>
                <w:rFonts w:ascii="Segoe UI" w:hAnsi="Segoe UI" w:cs="Segoe UI"/>
              </w:rPr>
              <w:t xml:space="preserve"> </w:t>
            </w:r>
            <w:r w:rsidRPr="004733F2">
              <w:rPr>
                <w:rFonts w:ascii="Segoe UI" w:hAnsi="Segoe UI" w:cs="Segoe UI"/>
              </w:rPr>
              <w:t>Māori protocols</w:t>
            </w:r>
            <w:r w:rsidRPr="00390D97">
              <w:rPr>
                <w:rFonts w:ascii="Segoe UI" w:hAnsi="Segoe UI" w:cs="Segoe UI"/>
              </w:rPr>
              <w:t xml:space="preserve"> and </w:t>
            </w:r>
            <w:hyperlink r:id="rId10" w:history="1">
              <w:r w:rsidRPr="00390D97">
                <w:rPr>
                  <w:rStyle w:val="Hyperlink"/>
                  <w:rFonts w:ascii="Segoe UI" w:hAnsi="Segoe UI" w:cs="Segoe UI"/>
                </w:rPr>
                <w:t xml:space="preserve">Te </w:t>
              </w:r>
              <w:proofErr w:type="spellStart"/>
              <w:r w:rsidRPr="00390D97">
                <w:rPr>
                  <w:rStyle w:val="Hyperlink"/>
                  <w:rFonts w:ascii="Segoe UI" w:hAnsi="Segoe UI" w:cs="Segoe UI"/>
                </w:rPr>
                <w:t>Reo</w:t>
              </w:r>
              <w:proofErr w:type="spellEnd"/>
              <w:r w:rsidRPr="00390D97">
                <w:rPr>
                  <w:rStyle w:val="Hyperlink"/>
                  <w:rFonts w:ascii="Segoe UI" w:hAnsi="Segoe UI" w:cs="Segoe UI"/>
                </w:rPr>
                <w:t xml:space="preserve"> </w:t>
              </w:r>
            </w:hyperlink>
            <w:r w:rsidRPr="00390D97">
              <w:rPr>
                <w:rFonts w:ascii="Segoe UI" w:hAnsi="Segoe UI" w:cs="Segoe UI"/>
              </w:rPr>
              <w:t xml:space="preserve">policy and principles and in use of the </w:t>
            </w:r>
            <w:hyperlink r:id="rId11" w:history="1">
              <w:r w:rsidRPr="00390D97">
                <w:rPr>
                  <w:rStyle w:val="Hyperlink"/>
                  <w:rFonts w:ascii="Segoe UI" w:hAnsi="Segoe UI" w:cs="Segoe UI"/>
                </w:rPr>
                <w:t xml:space="preserve">Te </w:t>
              </w:r>
              <w:proofErr w:type="spellStart"/>
              <w:r w:rsidRPr="00390D97">
                <w:rPr>
                  <w:rStyle w:val="Hyperlink"/>
                  <w:rFonts w:ascii="Segoe UI" w:hAnsi="Segoe UI" w:cs="Segoe UI"/>
                </w:rPr>
                <w:t>Kūaha</w:t>
              </w:r>
              <w:proofErr w:type="spellEnd"/>
              <w:r w:rsidRPr="00390D97">
                <w:rPr>
                  <w:rStyle w:val="Hyperlink"/>
                  <w:rFonts w:ascii="Segoe UI" w:hAnsi="Segoe UI" w:cs="Segoe UI"/>
                </w:rPr>
                <w:t xml:space="preserve"> app</w:t>
              </w:r>
            </w:hyperlink>
            <w:r w:rsidRPr="00390D97">
              <w:rPr>
                <w:sz w:val="24"/>
                <w:szCs w:val="24"/>
              </w:rPr>
              <w:t xml:space="preserve"> </w:t>
            </w:r>
            <w:r w:rsidRPr="00390D97">
              <w:rPr>
                <w:rFonts w:ascii="Segoe UI" w:hAnsi="Segoe UI" w:cs="Segoe UI"/>
              </w:rPr>
              <w:t xml:space="preserve"> </w:t>
            </w:r>
          </w:p>
          <w:p w14:paraId="1F6C8D8E" w14:textId="7043373A" w:rsidR="004017E5" w:rsidRPr="00390D97" w:rsidRDefault="004017E5" w:rsidP="006D4B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390D97">
              <w:rPr>
                <w:rFonts w:ascii="Segoe UI" w:hAnsi="Segoe UI" w:cs="Segoe UI"/>
              </w:rPr>
              <w:t xml:space="preserve">Encourage staff to improve wider cultural competency </w:t>
            </w:r>
          </w:p>
          <w:p w14:paraId="59923199" w14:textId="1554F454" w:rsidR="006D4BF0" w:rsidRPr="00390D97" w:rsidRDefault="006D4BF0" w:rsidP="006D4B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390D97">
              <w:rPr>
                <w:rFonts w:ascii="Segoe UI" w:hAnsi="Segoe UI" w:cs="Segoe UI"/>
              </w:rPr>
              <w:t>Encourage staff to complete on-line training to increase awareness of unconscious bias</w:t>
            </w:r>
            <w:r w:rsidR="00BC419C" w:rsidRPr="00390D97">
              <w:rPr>
                <w:rFonts w:ascii="Segoe UI" w:hAnsi="Segoe UI" w:cs="Segoe UI"/>
              </w:rPr>
              <w:t>,</w:t>
            </w:r>
            <w:r w:rsidRPr="00390D97">
              <w:rPr>
                <w:rFonts w:ascii="Segoe UI" w:hAnsi="Segoe UI" w:cs="Segoe UI"/>
              </w:rPr>
              <w:t xml:space="preserve"> </w:t>
            </w:r>
            <w:r w:rsidR="00FE58D7" w:rsidRPr="00390D97">
              <w:rPr>
                <w:rFonts w:ascii="Segoe UI" w:hAnsi="Segoe UI" w:cs="Segoe UI"/>
              </w:rPr>
              <w:t>equity &amp;</w:t>
            </w:r>
            <w:r w:rsidR="00BC419C" w:rsidRPr="00390D97">
              <w:rPr>
                <w:rFonts w:ascii="Segoe UI" w:hAnsi="Segoe UI" w:cs="Segoe UI"/>
              </w:rPr>
              <w:t xml:space="preserve"> avoiding discrimination</w:t>
            </w:r>
            <w:r w:rsidR="00FE58D7" w:rsidRPr="00390D97">
              <w:rPr>
                <w:rFonts w:ascii="Segoe UI" w:hAnsi="Segoe UI" w:cs="Segoe UI"/>
              </w:rPr>
              <w:t xml:space="preserve"> </w:t>
            </w:r>
            <w:r w:rsidR="00BC419C" w:rsidRPr="00390D97">
              <w:rPr>
                <w:rFonts w:ascii="Segoe UI" w:hAnsi="Segoe UI" w:cs="Segoe UI"/>
              </w:rPr>
              <w:t>(</w:t>
            </w:r>
            <w:r w:rsidR="00390D97" w:rsidRPr="00390D97">
              <w:rPr>
                <w:rFonts w:ascii="Segoe UI" w:hAnsi="Segoe UI" w:cs="Segoe UI"/>
              </w:rPr>
              <w:t>See E</w:t>
            </w:r>
            <w:r w:rsidR="00BC419C" w:rsidRPr="00390D97">
              <w:rPr>
                <w:rFonts w:ascii="Segoe UI" w:hAnsi="Segoe UI" w:cs="Segoe UI"/>
              </w:rPr>
              <w:t xml:space="preserve">quity </w:t>
            </w:r>
            <w:r w:rsidR="00390D97" w:rsidRPr="00390D97">
              <w:rPr>
                <w:rFonts w:ascii="Segoe UI" w:hAnsi="Segoe UI" w:cs="Segoe UI"/>
              </w:rPr>
              <w:t xml:space="preserve">Office and </w:t>
            </w:r>
            <w:r w:rsidR="001378F6" w:rsidRPr="00390D97">
              <w:rPr>
                <w:rFonts w:ascii="Segoe UI" w:hAnsi="Segoe UI" w:cs="Segoe UI"/>
              </w:rPr>
              <w:t>Career Tools</w:t>
            </w:r>
            <w:r w:rsidR="00FE58D7" w:rsidRPr="00390D97">
              <w:rPr>
                <w:rFonts w:ascii="Segoe UI" w:hAnsi="Segoe UI" w:cs="Segoe UI"/>
              </w:rPr>
              <w:t xml:space="preserve"> cat</w:t>
            </w:r>
            <w:r w:rsidR="001378F6" w:rsidRPr="00390D97">
              <w:rPr>
                <w:rFonts w:ascii="Segoe UI" w:hAnsi="Segoe UI" w:cs="Segoe UI"/>
              </w:rPr>
              <w:t>alogue</w:t>
            </w:r>
            <w:r w:rsidR="00390D97" w:rsidRPr="00390D97">
              <w:rPr>
                <w:rFonts w:ascii="Segoe UI" w:hAnsi="Segoe UI" w:cs="Segoe UI"/>
              </w:rPr>
              <w:t>)</w:t>
            </w:r>
          </w:p>
          <w:p w14:paraId="6F745A2A" w14:textId="029BE085" w:rsidR="006D4BF0" w:rsidRPr="00390D97" w:rsidRDefault="006D4BF0" w:rsidP="006D4B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390D97">
              <w:rPr>
                <w:rFonts w:ascii="Segoe UI" w:hAnsi="Segoe UI" w:cs="Segoe UI"/>
              </w:rPr>
              <w:t xml:space="preserve">Provide a workshop </w:t>
            </w:r>
            <w:r w:rsidR="00BC419C" w:rsidRPr="00390D97">
              <w:rPr>
                <w:rFonts w:ascii="Segoe UI" w:hAnsi="Segoe UI" w:cs="Segoe UI"/>
              </w:rPr>
              <w:t xml:space="preserve">or distribute resources </w:t>
            </w:r>
            <w:r w:rsidRPr="00390D97">
              <w:rPr>
                <w:rFonts w:ascii="Segoe UI" w:hAnsi="Segoe UI" w:cs="Segoe UI"/>
              </w:rPr>
              <w:t>on understanding and avoiding unconscious bias</w:t>
            </w:r>
            <w:r w:rsidR="00FE58D7" w:rsidRPr="00390D97">
              <w:rPr>
                <w:rFonts w:ascii="Segoe UI" w:hAnsi="Segoe UI" w:cs="Segoe UI"/>
              </w:rPr>
              <w:t xml:space="preserve"> </w:t>
            </w:r>
            <w:r w:rsidR="00390D97" w:rsidRPr="00390D97">
              <w:rPr>
                <w:rFonts w:ascii="Segoe UI" w:hAnsi="Segoe UI" w:cs="Segoe UI"/>
              </w:rPr>
              <w:t>(as above)</w:t>
            </w:r>
          </w:p>
          <w:p w14:paraId="11453266" w14:textId="11CF001A" w:rsidR="00390D97" w:rsidRPr="00390D97" w:rsidRDefault="00FE58D7" w:rsidP="00390D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390D97">
              <w:rPr>
                <w:rFonts w:ascii="Segoe UI" w:hAnsi="Segoe UI" w:cs="Segoe UI"/>
              </w:rPr>
              <w:t>Promote training</w:t>
            </w:r>
            <w:r w:rsidR="00397D1F" w:rsidRPr="00390D97">
              <w:rPr>
                <w:rFonts w:ascii="Segoe UI" w:hAnsi="Segoe UI" w:cs="Segoe UI"/>
              </w:rPr>
              <w:t xml:space="preserve"> for</w:t>
            </w:r>
            <w:r w:rsidRPr="00390D97">
              <w:rPr>
                <w:rFonts w:ascii="Segoe UI" w:hAnsi="Segoe UI" w:cs="Segoe UI"/>
              </w:rPr>
              <w:t xml:space="preserve"> Addressing Bullying, Harassment and Discrimination </w:t>
            </w:r>
            <w:r w:rsidR="00390D97" w:rsidRPr="00390D97">
              <w:rPr>
                <w:rFonts w:ascii="Segoe UI" w:hAnsi="Segoe UI" w:cs="Segoe UI"/>
              </w:rPr>
              <w:t>(See Career Tools catalogue)</w:t>
            </w:r>
          </w:p>
          <w:p w14:paraId="502E702A" w14:textId="4D702986" w:rsidR="00FE58D7" w:rsidRPr="00390D97" w:rsidRDefault="00B90B37" w:rsidP="004C38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rFonts w:ascii="Segoe UI" w:hAnsi="Segoe UI" w:cs="Segoe UI"/>
              </w:rPr>
              <w:t>Discuss possible training in</w:t>
            </w:r>
            <w:r w:rsidR="00FE58D7" w:rsidRPr="00390D97">
              <w:rPr>
                <w:rFonts w:ascii="Segoe UI" w:hAnsi="Segoe UI" w:cs="Segoe UI"/>
              </w:rPr>
              <w:t xml:space="preserve"> Bystander Intervention</w:t>
            </w:r>
            <w:r>
              <w:rPr>
                <w:rFonts w:ascii="Segoe UI" w:hAnsi="Segoe UI" w:cs="Segoe UI"/>
              </w:rPr>
              <w:t xml:space="preserve">, Disability </w:t>
            </w:r>
            <w:proofErr w:type="gramStart"/>
            <w:r>
              <w:rPr>
                <w:rFonts w:ascii="Segoe UI" w:hAnsi="Segoe UI" w:cs="Segoe UI"/>
              </w:rPr>
              <w:t>Confidence</w:t>
            </w:r>
            <w:proofErr w:type="gramEnd"/>
            <w:r w:rsidR="00FE58D7" w:rsidRPr="00390D97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or other identified issues </w:t>
            </w:r>
            <w:r w:rsidR="00390D97" w:rsidRPr="00390D97">
              <w:rPr>
                <w:rFonts w:ascii="Segoe UI" w:hAnsi="Segoe UI" w:cs="Segoe UI"/>
              </w:rPr>
              <w:t>(See Equity Office or Student Care and Conduct)</w:t>
            </w:r>
          </w:p>
          <w:p w14:paraId="29DB4C0F" w14:textId="0F6EF744" w:rsidR="00F5333C" w:rsidRPr="00390D97" w:rsidRDefault="00F5333C" w:rsidP="00FE58D7">
            <w:pPr>
              <w:pStyle w:val="ListParagraph"/>
              <w:autoSpaceDE w:val="0"/>
              <w:autoSpaceDN w:val="0"/>
              <w:adjustRightInd w:val="0"/>
            </w:pPr>
          </w:p>
        </w:tc>
      </w:tr>
      <w:tr w:rsidR="009D2BA1" w14:paraId="5CBFEA1B" w14:textId="77777777" w:rsidTr="00C05630">
        <w:tc>
          <w:tcPr>
            <w:tcW w:w="3055" w:type="dxa"/>
          </w:tcPr>
          <w:p w14:paraId="4969A485" w14:textId="77777777" w:rsidR="009D2BA1" w:rsidRDefault="00E01637" w:rsidP="009B690B">
            <w:r w:rsidRPr="00E01637">
              <w:t>Collect and share best practices, successes and challenges related to recruitment of diverse individuals from peer institutions</w:t>
            </w:r>
          </w:p>
          <w:p w14:paraId="48200B18" w14:textId="0C202CF7" w:rsidR="009B690B" w:rsidRDefault="009B690B" w:rsidP="009B690B"/>
        </w:tc>
        <w:tc>
          <w:tcPr>
            <w:tcW w:w="6012" w:type="dxa"/>
          </w:tcPr>
          <w:p w14:paraId="0BD5DD78" w14:textId="5156F8E3" w:rsidR="009B690B" w:rsidRPr="009B690B" w:rsidRDefault="009B690B" w:rsidP="009B690B">
            <w:pPr>
              <w:rPr>
                <w:b/>
                <w:bCs/>
              </w:rPr>
            </w:pPr>
            <w:r w:rsidRPr="009B690B">
              <w:rPr>
                <w:b/>
                <w:bCs/>
              </w:rPr>
              <w:t>Case Stud</w:t>
            </w:r>
            <w:r w:rsidR="00390D97">
              <w:rPr>
                <w:b/>
                <w:bCs/>
              </w:rPr>
              <w:t>y Examples</w:t>
            </w:r>
          </w:p>
          <w:p w14:paraId="1112D55D" w14:textId="4FF1E181" w:rsidR="00390D97" w:rsidRPr="005751D4" w:rsidRDefault="00357D71" w:rsidP="005B7941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Segoe UI" w:hAnsi="Segoe UI" w:cs="Segoe UI"/>
              </w:rPr>
            </w:pPr>
            <w:hyperlink r:id="rId12" w:history="1">
              <w:r w:rsidR="00390D97" w:rsidRPr="005751D4">
                <w:rPr>
                  <w:rStyle w:val="Hyperlink"/>
                  <w:rFonts w:ascii="Segoe UI" w:hAnsi="Segoe UI" w:cs="Segoe UI"/>
                </w:rPr>
                <w:t>CAASTRO Gender Action Toolkit</w:t>
              </w:r>
            </w:hyperlink>
            <w:r w:rsidR="00390D97" w:rsidRPr="005751D4">
              <w:rPr>
                <w:rFonts w:ascii="Segoe UI" w:hAnsi="Segoe UI" w:cs="Segoe UI"/>
              </w:rPr>
              <w:t xml:space="preserve"> </w:t>
            </w:r>
          </w:p>
          <w:bookmarkStart w:id="0" w:name="_Hlk72237340"/>
          <w:p w14:paraId="0D64F84B" w14:textId="2E66A2D5" w:rsidR="001564A4" w:rsidRPr="005751D4" w:rsidRDefault="00F62400" w:rsidP="005B7941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Segoe UI" w:hAnsi="Segoe UI" w:cs="Segoe UI"/>
              </w:rPr>
            </w:pPr>
            <w:r w:rsidRPr="005751D4">
              <w:fldChar w:fldCharType="begin"/>
            </w:r>
            <w:r w:rsidRPr="005751D4">
              <w:rPr>
                <w:rFonts w:ascii="Segoe UI" w:hAnsi="Segoe UI" w:cs="Segoe UI"/>
              </w:rPr>
              <w:instrText xml:space="preserve"> HYPERLINK "https://www.universitiesaustralia.edu.au/wp-content/uploads/2019/06/Best-Practice-Gender-Equity-Recruitment-Guidelines-6.pdf" </w:instrText>
            </w:r>
            <w:r w:rsidRPr="005751D4">
              <w:fldChar w:fldCharType="separate"/>
            </w:r>
            <w:r w:rsidR="001564A4" w:rsidRPr="005751D4">
              <w:rPr>
                <w:rStyle w:val="Hyperlink"/>
                <w:rFonts w:ascii="Segoe UI" w:hAnsi="Segoe UI" w:cs="Segoe UI"/>
              </w:rPr>
              <w:t>Best Practice Gender Equity Recruitment Guidelines Universit</w:t>
            </w:r>
            <w:r w:rsidR="00657115" w:rsidRPr="005751D4">
              <w:rPr>
                <w:rStyle w:val="Hyperlink"/>
                <w:rFonts w:ascii="Segoe UI" w:hAnsi="Segoe UI" w:cs="Segoe UI"/>
              </w:rPr>
              <w:t>i</w:t>
            </w:r>
            <w:r w:rsidR="001564A4" w:rsidRPr="005751D4">
              <w:rPr>
                <w:rStyle w:val="Hyperlink"/>
                <w:rFonts w:ascii="Segoe UI" w:hAnsi="Segoe UI" w:cs="Segoe UI"/>
              </w:rPr>
              <w:t>es Australia</w:t>
            </w:r>
            <w:r w:rsidRPr="005751D4">
              <w:rPr>
                <w:rStyle w:val="Hyperlink"/>
                <w:rFonts w:ascii="Segoe UI" w:hAnsi="Segoe UI" w:cs="Segoe UI"/>
              </w:rPr>
              <w:fldChar w:fldCharType="end"/>
            </w:r>
            <w:r w:rsidR="001564A4" w:rsidRPr="005751D4">
              <w:rPr>
                <w:rFonts w:ascii="Segoe UI" w:hAnsi="Segoe UI" w:cs="Segoe UI"/>
              </w:rPr>
              <w:t xml:space="preserve"> </w:t>
            </w:r>
            <w:r w:rsidR="00354ABF" w:rsidRPr="005751D4">
              <w:rPr>
                <w:rFonts w:ascii="Segoe UI" w:hAnsi="Segoe UI" w:cs="Segoe UI"/>
              </w:rPr>
              <w:t>Best Practice Guidelines</w:t>
            </w:r>
          </w:p>
          <w:p w14:paraId="2BD9E078" w14:textId="54F12D5D" w:rsidR="00657115" w:rsidRPr="005751D4" w:rsidRDefault="00357D71" w:rsidP="005B7941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Segoe UI" w:hAnsi="Segoe UI" w:cs="Segoe UI"/>
              </w:rPr>
            </w:pPr>
            <w:hyperlink r:id="rId13" w:history="1">
              <w:r w:rsidR="00657115" w:rsidRPr="005751D4">
                <w:rPr>
                  <w:rStyle w:val="Hyperlink"/>
                  <w:rFonts w:ascii="Segoe UI" w:hAnsi="Segoe UI" w:cs="Segoe UI"/>
                </w:rPr>
                <w:t xml:space="preserve">Recruitment Guidance NZ Public Service </w:t>
              </w:r>
            </w:hyperlink>
            <w:bookmarkEnd w:id="0"/>
            <w:r w:rsidR="00657115" w:rsidRPr="005751D4">
              <w:rPr>
                <w:rFonts w:ascii="Segoe UI" w:hAnsi="Segoe UI" w:cs="Segoe UI"/>
              </w:rPr>
              <w:t xml:space="preserve"> </w:t>
            </w:r>
          </w:p>
          <w:p w14:paraId="5B2F717F" w14:textId="3D240C19" w:rsidR="005B7941" w:rsidRPr="005751D4" w:rsidRDefault="005B7941" w:rsidP="005B7941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Segoe UI" w:hAnsi="Segoe UI" w:cs="Segoe UI"/>
              </w:rPr>
            </w:pPr>
            <w:r w:rsidRPr="005751D4">
              <w:rPr>
                <w:rFonts w:ascii="Segoe UI" w:hAnsi="Segoe UI" w:cs="Segoe UI"/>
              </w:rPr>
              <w:t>University of Western Australia Indigenous Employment Strategy</w:t>
            </w:r>
          </w:p>
          <w:p w14:paraId="659BABFA" w14:textId="54EE75F1" w:rsidR="008B075D" w:rsidRPr="005751D4" w:rsidRDefault="00357D71" w:rsidP="005B7941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Segoe UI" w:hAnsi="Segoe UI" w:cs="Segoe UI"/>
              </w:rPr>
            </w:pPr>
            <w:hyperlink r:id="rId14" w:history="1">
              <w:r w:rsidR="00354ABF" w:rsidRPr="005751D4">
                <w:rPr>
                  <w:rStyle w:val="Hyperlink"/>
                  <w:rFonts w:ascii="Segoe UI" w:hAnsi="Segoe UI" w:cs="Segoe UI"/>
                </w:rPr>
                <w:t>Inclusive Recruitment Macquarie University</w:t>
              </w:r>
            </w:hyperlink>
            <w:r w:rsidR="00354ABF" w:rsidRPr="005751D4">
              <w:rPr>
                <w:rFonts w:ascii="Segoe UI" w:hAnsi="Segoe UI" w:cs="Segoe UI"/>
              </w:rPr>
              <w:t xml:space="preserve">  </w:t>
            </w:r>
          </w:p>
          <w:p w14:paraId="3A06B56D" w14:textId="3BDCADBD" w:rsidR="005751D4" w:rsidRPr="004733F2" w:rsidRDefault="00357D71" w:rsidP="005751D4">
            <w:pPr>
              <w:pStyle w:val="ListParagraph"/>
              <w:numPr>
                <w:ilvl w:val="0"/>
                <w:numId w:val="9"/>
              </w:numPr>
              <w:ind w:left="374"/>
              <w:rPr>
                <w:rFonts w:ascii="Segoe UI" w:hAnsi="Segoe UI" w:cs="Segoe UI"/>
              </w:rPr>
            </w:pPr>
            <w:hyperlink r:id="rId15" w:history="1">
              <w:r w:rsidR="004733F2" w:rsidRPr="004733F2">
                <w:rPr>
                  <w:rStyle w:val="Hyperlink"/>
                  <w:rFonts w:ascii="Segoe UI" w:hAnsi="Segoe UI" w:cs="Segoe UI"/>
                </w:rPr>
                <w:t>Understanding Bias in Recruitment, Victoria University Wellington</w:t>
              </w:r>
            </w:hyperlink>
            <w:r w:rsidR="004733F2" w:rsidRPr="004733F2">
              <w:rPr>
                <w:rStyle w:val="Hyperlink"/>
                <w:rFonts w:ascii="Segoe UI" w:hAnsi="Segoe UI" w:cs="Segoe UI"/>
              </w:rPr>
              <w:t xml:space="preserve"> </w:t>
            </w:r>
          </w:p>
          <w:p w14:paraId="10D537B6" w14:textId="1614E0F4" w:rsidR="005751D4" w:rsidRDefault="00357D71" w:rsidP="005751D4">
            <w:pPr>
              <w:pStyle w:val="ListParagraph"/>
              <w:numPr>
                <w:ilvl w:val="0"/>
                <w:numId w:val="9"/>
              </w:numPr>
              <w:ind w:left="374"/>
            </w:pPr>
            <w:hyperlink r:id="rId16" w:history="1">
              <w:r w:rsidR="005751D4" w:rsidRPr="004733F2">
                <w:rPr>
                  <w:rStyle w:val="Hyperlink"/>
                  <w:rFonts w:ascii="Segoe UI" w:hAnsi="Segoe UI" w:cs="Segoe UI"/>
                </w:rPr>
                <w:t>Ohio State University Implicit Bias Resources</w:t>
              </w:r>
            </w:hyperlink>
            <w:r w:rsidR="005751D4">
              <w:t xml:space="preserve"> </w:t>
            </w:r>
          </w:p>
          <w:p w14:paraId="1056607A" w14:textId="775839CF" w:rsidR="00657115" w:rsidRPr="00741F14" w:rsidRDefault="00657115" w:rsidP="009D2BA1">
            <w:pPr>
              <w:rPr>
                <w:color w:val="auto"/>
              </w:rPr>
            </w:pPr>
          </w:p>
        </w:tc>
      </w:tr>
      <w:tr w:rsidR="009D2BA1" w14:paraId="38B7BD50" w14:textId="77777777" w:rsidTr="00C05630">
        <w:tc>
          <w:tcPr>
            <w:tcW w:w="3055" w:type="dxa"/>
          </w:tcPr>
          <w:p w14:paraId="4984FA14" w14:textId="5ED868EB" w:rsidR="009D2BA1" w:rsidRDefault="00DC01E8" w:rsidP="009D2BA1">
            <w:r>
              <w:lastRenderedPageBreak/>
              <w:t xml:space="preserve">Promote the faculty/division’s interest in welcoming under-represented groups widely </w:t>
            </w:r>
          </w:p>
        </w:tc>
        <w:tc>
          <w:tcPr>
            <w:tcW w:w="6012" w:type="dxa"/>
          </w:tcPr>
          <w:p w14:paraId="63FCC2D9" w14:textId="77777777" w:rsidR="009D2BA1" w:rsidRDefault="00DC01E8" w:rsidP="00DC01E8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Encourage staff members to make personal connections and generate potential applicant pools at professional meetings and conferences even when not actively recruiting</w:t>
            </w:r>
            <w:r w:rsidRPr="00DC01E8">
              <w:rPr>
                <w:rFonts w:ascii="Segoe UI" w:hAnsi="Segoe UI" w:cs="Segoe UI"/>
              </w:rPr>
              <w:t xml:space="preserve"> </w:t>
            </w:r>
          </w:p>
          <w:p w14:paraId="0D7ABD2A" w14:textId="6C967B15" w:rsidR="009B690B" w:rsidRPr="00DC01E8" w:rsidRDefault="009B690B" w:rsidP="009B690B">
            <w:pPr>
              <w:pStyle w:val="ListParagraph"/>
              <w:ind w:left="360"/>
              <w:rPr>
                <w:rFonts w:ascii="Segoe UI" w:hAnsi="Segoe UI" w:cs="Segoe UI"/>
              </w:rPr>
            </w:pPr>
          </w:p>
        </w:tc>
      </w:tr>
      <w:tr w:rsidR="009B690B" w14:paraId="329C9CBF" w14:textId="77777777" w:rsidTr="00C05630">
        <w:tc>
          <w:tcPr>
            <w:tcW w:w="3055" w:type="dxa"/>
          </w:tcPr>
          <w:p w14:paraId="2359C683" w14:textId="77777777" w:rsidR="009B690B" w:rsidRPr="003C2D35" w:rsidRDefault="009B690B" w:rsidP="009B690B">
            <w:pPr>
              <w:rPr>
                <w:color w:val="auto"/>
              </w:rPr>
            </w:pPr>
            <w:r w:rsidRPr="00E01637">
              <w:t xml:space="preserve">Create innovative programmes to establish pathways and pipelines for graduate students, staff </w:t>
            </w:r>
            <w:r w:rsidRPr="003C2D35">
              <w:rPr>
                <w:color w:val="auto"/>
              </w:rPr>
              <w:t xml:space="preserve">members, </w:t>
            </w:r>
            <w:proofErr w:type="gramStart"/>
            <w:r w:rsidRPr="003C2D35">
              <w:rPr>
                <w:color w:val="auto"/>
              </w:rPr>
              <w:t>Māori</w:t>
            </w:r>
            <w:proofErr w:type="gramEnd"/>
            <w:r w:rsidRPr="003C2D35">
              <w:rPr>
                <w:color w:val="auto"/>
              </w:rPr>
              <w:t xml:space="preserve"> and equity group members</w:t>
            </w:r>
          </w:p>
          <w:p w14:paraId="7BE683B8" w14:textId="77777777" w:rsidR="009B690B" w:rsidRDefault="009B690B" w:rsidP="009B690B"/>
        </w:tc>
        <w:tc>
          <w:tcPr>
            <w:tcW w:w="6012" w:type="dxa"/>
          </w:tcPr>
          <w:p w14:paraId="46215C51" w14:textId="7DC3F40A" w:rsidR="009B690B" w:rsidRPr="00741F14" w:rsidRDefault="009B690B" w:rsidP="009B690B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741F14">
              <w:rPr>
                <w:rFonts w:ascii="Segoe UI" w:hAnsi="Segoe UI" w:cs="Segoe UI"/>
              </w:rPr>
              <w:t xml:space="preserve">Are there grants available for </w:t>
            </w:r>
            <w:r w:rsidR="004733F2">
              <w:rPr>
                <w:rFonts w:ascii="Segoe UI" w:hAnsi="Segoe UI" w:cs="Segoe UI"/>
              </w:rPr>
              <w:t>s</w:t>
            </w:r>
            <w:r w:rsidR="004733F2">
              <w:t xml:space="preserve">taff and </w:t>
            </w:r>
            <w:r w:rsidRPr="00741F14">
              <w:rPr>
                <w:rFonts w:ascii="Segoe UI" w:hAnsi="Segoe UI" w:cs="Segoe UI"/>
              </w:rPr>
              <w:t xml:space="preserve">undergraduate students from </w:t>
            </w:r>
            <w:r w:rsidR="00F6271D">
              <w:rPr>
                <w:rFonts w:ascii="Segoe UI" w:hAnsi="Segoe UI" w:cs="Segoe UI"/>
              </w:rPr>
              <w:t>e</w:t>
            </w:r>
            <w:r w:rsidR="00F6271D">
              <w:t xml:space="preserve">quity or </w:t>
            </w:r>
            <w:r w:rsidRPr="00741F14">
              <w:rPr>
                <w:rFonts w:ascii="Segoe UI" w:hAnsi="Segoe UI" w:cs="Segoe UI"/>
              </w:rPr>
              <w:t>under-represented groups to participate in research collaborati</w:t>
            </w:r>
            <w:r w:rsidR="00F6271D">
              <w:rPr>
                <w:rFonts w:ascii="Segoe UI" w:hAnsi="Segoe UI" w:cs="Segoe UI"/>
              </w:rPr>
              <w:t>ons</w:t>
            </w:r>
            <w:r w:rsidRPr="00741F14">
              <w:rPr>
                <w:rFonts w:ascii="Segoe UI" w:hAnsi="Segoe UI" w:cs="Segoe UI"/>
              </w:rPr>
              <w:t>?</w:t>
            </w:r>
          </w:p>
          <w:p w14:paraId="08DF6945" w14:textId="76A7F275" w:rsidR="009B690B" w:rsidRDefault="009B690B" w:rsidP="009B690B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741F14">
              <w:rPr>
                <w:rFonts w:ascii="Segoe UI" w:hAnsi="Segoe UI" w:cs="Segoe UI"/>
              </w:rPr>
              <w:t xml:space="preserve">Investigate use of intern </w:t>
            </w:r>
            <w:r w:rsidR="00D33279">
              <w:rPr>
                <w:rFonts w:ascii="Segoe UI" w:hAnsi="Segoe UI" w:cs="Segoe UI"/>
              </w:rPr>
              <w:t xml:space="preserve">or work experience </w:t>
            </w:r>
            <w:r w:rsidRPr="00741F14">
              <w:rPr>
                <w:rFonts w:ascii="Segoe UI" w:hAnsi="Segoe UI" w:cs="Segoe UI"/>
              </w:rPr>
              <w:t>programmes</w:t>
            </w:r>
            <w:r>
              <w:rPr>
                <w:rFonts w:ascii="Segoe UI" w:hAnsi="Segoe UI" w:cs="Segoe UI"/>
              </w:rPr>
              <w:t xml:space="preserve"> for under-represented groups which provide the intern with work skills and the </w:t>
            </w:r>
            <w:r w:rsidR="00BC419C">
              <w:rPr>
                <w:rFonts w:ascii="Segoe UI" w:hAnsi="Segoe UI" w:cs="Segoe UI"/>
              </w:rPr>
              <w:t>University</w:t>
            </w:r>
            <w:r>
              <w:rPr>
                <w:rFonts w:ascii="Segoe UI" w:hAnsi="Segoe UI" w:cs="Segoe UI"/>
              </w:rPr>
              <w:t xml:space="preserve"> with valuable diverse perspectives to projects</w:t>
            </w:r>
          </w:p>
          <w:p w14:paraId="7DD6275F" w14:textId="77777777" w:rsidR="009B690B" w:rsidRPr="00741F14" w:rsidRDefault="009B690B" w:rsidP="009B690B">
            <w:pPr>
              <w:rPr>
                <w:color w:val="auto"/>
              </w:rPr>
            </w:pPr>
          </w:p>
          <w:p w14:paraId="1BB16744" w14:textId="77777777" w:rsidR="009B690B" w:rsidRPr="00741F14" w:rsidRDefault="009B690B" w:rsidP="009B690B">
            <w:pPr>
              <w:rPr>
                <w:b/>
                <w:bCs/>
                <w:color w:val="auto"/>
              </w:rPr>
            </w:pPr>
            <w:r w:rsidRPr="00741F14">
              <w:rPr>
                <w:b/>
                <w:bCs/>
                <w:color w:val="auto"/>
              </w:rPr>
              <w:t>Case Study:</w:t>
            </w:r>
          </w:p>
          <w:p w14:paraId="7FD36A00" w14:textId="7701B236" w:rsidR="009B690B" w:rsidRPr="00741F14" w:rsidRDefault="009B690B" w:rsidP="009B690B">
            <w:pPr>
              <w:ind w:left="378"/>
              <w:rPr>
                <w:color w:val="0070C0"/>
              </w:rPr>
            </w:pPr>
            <w:r w:rsidRPr="00741F14">
              <w:rPr>
                <w:color w:val="0070C0"/>
              </w:rPr>
              <w:t xml:space="preserve">Academic Services have had successful intern programmes specifically targetted to, Māori, </w:t>
            </w:r>
            <w:proofErr w:type="gramStart"/>
            <w:r w:rsidRPr="00741F14">
              <w:rPr>
                <w:color w:val="0070C0"/>
              </w:rPr>
              <w:t>Pacific</w:t>
            </w:r>
            <w:proofErr w:type="gramEnd"/>
            <w:r w:rsidRPr="00741F14">
              <w:rPr>
                <w:color w:val="0070C0"/>
              </w:rPr>
              <w:t xml:space="preserve"> and </w:t>
            </w:r>
            <w:r w:rsidR="004017E5">
              <w:rPr>
                <w:color w:val="0070C0"/>
              </w:rPr>
              <w:t>P</w:t>
            </w:r>
            <w:r w:rsidRPr="00741F14">
              <w:rPr>
                <w:color w:val="0070C0"/>
              </w:rPr>
              <w:t>eople with Disabilities</w:t>
            </w:r>
          </w:p>
          <w:p w14:paraId="55582BFE" w14:textId="77777777" w:rsidR="009B690B" w:rsidRPr="00DC01E8" w:rsidRDefault="009B690B" w:rsidP="009B690B"/>
        </w:tc>
      </w:tr>
    </w:tbl>
    <w:p w14:paraId="6A87DD7C" w14:textId="77777777" w:rsidR="009D2BA1" w:rsidRPr="003C2D35" w:rsidRDefault="009D2BA1" w:rsidP="009D2BA1"/>
    <w:p w14:paraId="6AC378A8" w14:textId="77777777" w:rsidR="003C2D35" w:rsidRPr="003C2D35" w:rsidRDefault="003C2D35"/>
    <w:sectPr w:rsidR="003C2D35" w:rsidRPr="003C2D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C5D54" w14:textId="77777777" w:rsidR="00454261" w:rsidRDefault="00454261" w:rsidP="00454261">
      <w:pPr>
        <w:spacing w:after="0" w:line="240" w:lineRule="auto"/>
      </w:pPr>
      <w:r>
        <w:separator/>
      </w:r>
    </w:p>
  </w:endnote>
  <w:endnote w:type="continuationSeparator" w:id="0">
    <w:p w14:paraId="768281EB" w14:textId="77777777" w:rsidR="00454261" w:rsidRDefault="00454261" w:rsidP="0045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Regular">
    <w:altName w:val="BentonSans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DB038" w14:textId="77777777" w:rsidR="00454261" w:rsidRDefault="00454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EAC02" w14:textId="30F325CE" w:rsidR="00454261" w:rsidRDefault="007B2D89">
    <w:pPr>
      <w:pStyle w:val="Footer"/>
    </w:pPr>
    <w:r>
      <w:t xml:space="preserve">University of Auckland </w:t>
    </w:r>
    <w:r w:rsidR="00454261">
      <w:t>Equity Office 2021</w:t>
    </w:r>
  </w:p>
  <w:p w14:paraId="2B6A9F2A" w14:textId="77777777" w:rsidR="00454261" w:rsidRDefault="00454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2380" w14:textId="77777777" w:rsidR="00454261" w:rsidRDefault="00454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C1D2" w14:textId="77777777" w:rsidR="00454261" w:rsidRDefault="00454261" w:rsidP="00454261">
      <w:pPr>
        <w:spacing w:after="0" w:line="240" w:lineRule="auto"/>
      </w:pPr>
      <w:r>
        <w:separator/>
      </w:r>
    </w:p>
  </w:footnote>
  <w:footnote w:type="continuationSeparator" w:id="0">
    <w:p w14:paraId="410F41D7" w14:textId="77777777" w:rsidR="00454261" w:rsidRDefault="00454261" w:rsidP="00454261">
      <w:pPr>
        <w:spacing w:after="0" w:line="240" w:lineRule="auto"/>
      </w:pPr>
      <w:r>
        <w:continuationSeparator/>
      </w:r>
    </w:p>
  </w:footnote>
  <w:footnote w:id="1">
    <w:p w14:paraId="5AF8676E" w14:textId="22BA8FD6" w:rsidR="00DE4F69" w:rsidRDefault="00DE4F69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>
          <w:rPr>
            <w:rStyle w:val="Hyperlink"/>
          </w:rPr>
          <w:t>Equity Groups</w:t>
        </w:r>
      </w:hyperlink>
      <w:r>
        <w:t xml:space="preserve"> </w:t>
      </w:r>
    </w:p>
  </w:footnote>
  <w:footnote w:id="2">
    <w:p w14:paraId="0266FD2F" w14:textId="659FECF9" w:rsidR="004733F2" w:rsidRDefault="004733F2">
      <w:pPr>
        <w:pStyle w:val="FootnoteText"/>
      </w:pPr>
      <w:r>
        <w:rPr>
          <w:rStyle w:val="FootnoteReference"/>
        </w:rPr>
        <w:footnoteRef/>
      </w:r>
      <w:r>
        <w:t xml:space="preserve"> Social identity theory </w:t>
      </w:r>
      <w:r w:rsidRPr="004733F2">
        <w:t xml:space="preserve">refers to </w:t>
      </w:r>
      <w:r w:rsidRPr="004733F2">
        <w:rPr>
          <w:color w:val="1A1A1A"/>
          <w:shd w:val="clear" w:color="auto" w:fill="FFFFFF"/>
        </w:rPr>
        <w:t xml:space="preserve">how people interpret their own position in different </w:t>
      </w:r>
      <w:r w:rsidRPr="004733F2">
        <w:rPr>
          <w:color w:val="auto"/>
          <w:shd w:val="clear" w:color="auto" w:fill="FFFFFF"/>
        </w:rPr>
        <w:t>social </w:t>
      </w:r>
      <w:hyperlink r:id="rId2" w:history="1">
        <w:r w:rsidRPr="004733F2">
          <w:rPr>
            <w:rStyle w:val="Hyperlink"/>
            <w:color w:val="auto"/>
            <w:u w:val="none"/>
            <w:shd w:val="clear" w:color="auto" w:fill="FFFFFF"/>
          </w:rPr>
          <w:t>contexts</w:t>
        </w:r>
      </w:hyperlink>
      <w:r w:rsidRPr="004733F2">
        <w:rPr>
          <w:color w:val="auto"/>
          <w:shd w:val="clear" w:color="auto" w:fill="FFFFFF"/>
        </w:rPr>
        <w:t> and how that affects their perceptions of others (e.g., </w:t>
      </w:r>
      <w:hyperlink r:id="rId3" w:history="1">
        <w:r w:rsidRPr="004733F2">
          <w:rPr>
            <w:rStyle w:val="Hyperlink"/>
            <w:color w:val="auto"/>
            <w:u w:val="none"/>
            <w:shd w:val="clear" w:color="auto" w:fill="FFFFFF"/>
          </w:rPr>
          <w:t>stereotyping</w:t>
        </w:r>
      </w:hyperlink>
      <w:r w:rsidRPr="004733F2">
        <w:rPr>
          <w:color w:val="auto"/>
          <w:shd w:val="clear" w:color="auto" w:fill="FFFFFF"/>
        </w:rPr>
        <w:t>), as well as their own </w:t>
      </w:r>
      <w:hyperlink r:id="rId4" w:history="1">
        <w:r w:rsidRPr="004733F2">
          <w:rPr>
            <w:rStyle w:val="Hyperlink"/>
            <w:color w:val="auto"/>
            <w:u w:val="none"/>
            <w:shd w:val="clear" w:color="auto" w:fill="FFFFFF"/>
          </w:rPr>
          <w:t>behaviour</w:t>
        </w:r>
      </w:hyperlink>
      <w:r w:rsidRPr="004733F2">
        <w:rPr>
          <w:color w:val="auto"/>
          <w:shd w:val="clear" w:color="auto" w:fill="FFFFFF"/>
        </w:rPr>
        <w:t xml:space="preserve"> in </w:t>
      </w:r>
      <w:r w:rsidRPr="004733F2">
        <w:rPr>
          <w:color w:val="1A1A1A"/>
          <w:shd w:val="clear" w:color="auto" w:fill="FFFFFF"/>
        </w:rPr>
        <w:t>groups (e.g., social influence).</w:t>
      </w:r>
      <w:r>
        <w:rPr>
          <w:color w:val="1A1A1A"/>
          <w:shd w:val="clear" w:color="auto" w:fill="FFFFFF"/>
        </w:rPr>
        <w:t xml:space="preserve"> </w:t>
      </w:r>
      <w:hyperlink r:id="rId5" w:history="1">
        <w:r>
          <w:rPr>
            <w:rStyle w:val="Hyperlink"/>
            <w:shd w:val="clear" w:color="auto" w:fill="FFFFFF"/>
          </w:rPr>
          <w:t>Britannica</w:t>
        </w:r>
      </w:hyperlink>
      <w:r>
        <w:rPr>
          <w:color w:val="1A1A1A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86ED8" w14:textId="77777777" w:rsidR="00454261" w:rsidRDefault="00454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729F" w14:textId="5982828D" w:rsidR="00454261" w:rsidRDefault="00454261" w:rsidP="00454261">
    <w:pPr>
      <w:pStyle w:val="Header"/>
      <w:ind w:firstLine="720"/>
    </w:pPr>
    <w:r>
      <w:tab/>
    </w:r>
    <w:r>
      <w:tab/>
    </w:r>
    <w:r>
      <w:rPr>
        <w:noProof/>
      </w:rPr>
      <w:drawing>
        <wp:inline distT="0" distB="0" distL="0" distR="0" wp14:anchorId="514A5D17" wp14:editId="63B2AC26">
          <wp:extent cx="1309816" cy="485775"/>
          <wp:effectExtent l="0" t="0" r="5080" b="0"/>
          <wp:docPr id="2" name="Picture 2" descr="University of Aucklan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Auck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066" cy="51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7C70E" w14:textId="77777777" w:rsidR="00454261" w:rsidRDefault="00454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3318"/>
    <w:multiLevelType w:val="hybridMultilevel"/>
    <w:tmpl w:val="98C431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A7F"/>
    <w:multiLevelType w:val="hybridMultilevel"/>
    <w:tmpl w:val="45F4F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10BBE"/>
    <w:multiLevelType w:val="hybridMultilevel"/>
    <w:tmpl w:val="2BF8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405B5"/>
    <w:multiLevelType w:val="hybridMultilevel"/>
    <w:tmpl w:val="418E5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619"/>
    <w:multiLevelType w:val="hybridMultilevel"/>
    <w:tmpl w:val="1D92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A2304"/>
    <w:multiLevelType w:val="hybridMultilevel"/>
    <w:tmpl w:val="44446604"/>
    <w:lvl w:ilvl="0" w:tplc="0830568A">
      <w:start w:val="20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7226"/>
    <w:multiLevelType w:val="hybridMultilevel"/>
    <w:tmpl w:val="FE3C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26204"/>
    <w:multiLevelType w:val="hybridMultilevel"/>
    <w:tmpl w:val="D8585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9C47EE"/>
    <w:multiLevelType w:val="hybridMultilevel"/>
    <w:tmpl w:val="4D4E0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A1263"/>
    <w:multiLevelType w:val="hybridMultilevel"/>
    <w:tmpl w:val="1D5A8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9367D9"/>
    <w:multiLevelType w:val="hybridMultilevel"/>
    <w:tmpl w:val="6FC65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0DDB"/>
    <w:multiLevelType w:val="hybridMultilevel"/>
    <w:tmpl w:val="7EDC20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A1"/>
    <w:rsid w:val="00005F12"/>
    <w:rsid w:val="000104F1"/>
    <w:rsid w:val="00012A35"/>
    <w:rsid w:val="000136D5"/>
    <w:rsid w:val="0003428A"/>
    <w:rsid w:val="000432FC"/>
    <w:rsid w:val="000534D5"/>
    <w:rsid w:val="0005498E"/>
    <w:rsid w:val="00063B17"/>
    <w:rsid w:val="000728C9"/>
    <w:rsid w:val="00082EE3"/>
    <w:rsid w:val="00092D0F"/>
    <w:rsid w:val="000B071C"/>
    <w:rsid w:val="000B2509"/>
    <w:rsid w:val="000B3248"/>
    <w:rsid w:val="000C007F"/>
    <w:rsid w:val="000C4DCA"/>
    <w:rsid w:val="000C6A3A"/>
    <w:rsid w:val="000D6462"/>
    <w:rsid w:val="000E0347"/>
    <w:rsid w:val="000E3D5F"/>
    <w:rsid w:val="000E4FDB"/>
    <w:rsid w:val="000F7902"/>
    <w:rsid w:val="00102F38"/>
    <w:rsid w:val="001060BD"/>
    <w:rsid w:val="00115D6F"/>
    <w:rsid w:val="00121A2E"/>
    <w:rsid w:val="00123C88"/>
    <w:rsid w:val="00125C79"/>
    <w:rsid w:val="00126DBB"/>
    <w:rsid w:val="001378F6"/>
    <w:rsid w:val="001411FD"/>
    <w:rsid w:val="00141B1C"/>
    <w:rsid w:val="00142A01"/>
    <w:rsid w:val="00151E7F"/>
    <w:rsid w:val="00154B49"/>
    <w:rsid w:val="001564A4"/>
    <w:rsid w:val="001658CD"/>
    <w:rsid w:val="0017085B"/>
    <w:rsid w:val="001709FA"/>
    <w:rsid w:val="00172323"/>
    <w:rsid w:val="001814E9"/>
    <w:rsid w:val="00182BB4"/>
    <w:rsid w:val="001834BF"/>
    <w:rsid w:val="001850AC"/>
    <w:rsid w:val="00186152"/>
    <w:rsid w:val="001866B9"/>
    <w:rsid w:val="001866D2"/>
    <w:rsid w:val="001904C2"/>
    <w:rsid w:val="001A1797"/>
    <w:rsid w:val="001B2313"/>
    <w:rsid w:val="001E2229"/>
    <w:rsid w:val="001E404C"/>
    <w:rsid w:val="001F0E2A"/>
    <w:rsid w:val="001F25BC"/>
    <w:rsid w:val="001F2AC3"/>
    <w:rsid w:val="001F59B4"/>
    <w:rsid w:val="001F7CA1"/>
    <w:rsid w:val="00203687"/>
    <w:rsid w:val="00207107"/>
    <w:rsid w:val="00207CF0"/>
    <w:rsid w:val="002136E0"/>
    <w:rsid w:val="00220C2C"/>
    <w:rsid w:val="00221235"/>
    <w:rsid w:val="00223289"/>
    <w:rsid w:val="002235FE"/>
    <w:rsid w:val="00224E64"/>
    <w:rsid w:val="00225BF7"/>
    <w:rsid w:val="00227C37"/>
    <w:rsid w:val="002344C2"/>
    <w:rsid w:val="00245D57"/>
    <w:rsid w:val="0024796F"/>
    <w:rsid w:val="00257BDF"/>
    <w:rsid w:val="002608EE"/>
    <w:rsid w:val="00277D15"/>
    <w:rsid w:val="00281B9D"/>
    <w:rsid w:val="0029318F"/>
    <w:rsid w:val="00294736"/>
    <w:rsid w:val="002A528E"/>
    <w:rsid w:val="002B29D5"/>
    <w:rsid w:val="002B5FB9"/>
    <w:rsid w:val="002C74B9"/>
    <w:rsid w:val="002D3229"/>
    <w:rsid w:val="002D3CB0"/>
    <w:rsid w:val="002D4873"/>
    <w:rsid w:val="002D6DB2"/>
    <w:rsid w:val="002E63ED"/>
    <w:rsid w:val="002E68CB"/>
    <w:rsid w:val="002F5606"/>
    <w:rsid w:val="00301FC2"/>
    <w:rsid w:val="00307315"/>
    <w:rsid w:val="00314A6D"/>
    <w:rsid w:val="0032195F"/>
    <w:rsid w:val="00336725"/>
    <w:rsid w:val="003429CA"/>
    <w:rsid w:val="003430AB"/>
    <w:rsid w:val="003447BB"/>
    <w:rsid w:val="003511CD"/>
    <w:rsid w:val="00351598"/>
    <w:rsid w:val="00354ABF"/>
    <w:rsid w:val="00355614"/>
    <w:rsid w:val="00357D71"/>
    <w:rsid w:val="00361D19"/>
    <w:rsid w:val="00362A82"/>
    <w:rsid w:val="00372B29"/>
    <w:rsid w:val="00384F58"/>
    <w:rsid w:val="003866E5"/>
    <w:rsid w:val="00390D97"/>
    <w:rsid w:val="003911A5"/>
    <w:rsid w:val="0039493F"/>
    <w:rsid w:val="00395624"/>
    <w:rsid w:val="00397D1F"/>
    <w:rsid w:val="003A3C98"/>
    <w:rsid w:val="003B186E"/>
    <w:rsid w:val="003B2B0E"/>
    <w:rsid w:val="003B6C2F"/>
    <w:rsid w:val="003C1E66"/>
    <w:rsid w:val="003C2BC9"/>
    <w:rsid w:val="003C2D35"/>
    <w:rsid w:val="003C66B4"/>
    <w:rsid w:val="003D220A"/>
    <w:rsid w:val="003D46B2"/>
    <w:rsid w:val="003D77D4"/>
    <w:rsid w:val="003E12F5"/>
    <w:rsid w:val="003E46BC"/>
    <w:rsid w:val="003E47E6"/>
    <w:rsid w:val="003E5036"/>
    <w:rsid w:val="003E7FE0"/>
    <w:rsid w:val="003F4A25"/>
    <w:rsid w:val="004017E5"/>
    <w:rsid w:val="00403504"/>
    <w:rsid w:val="004038AA"/>
    <w:rsid w:val="004051DD"/>
    <w:rsid w:val="00414B51"/>
    <w:rsid w:val="00425C9C"/>
    <w:rsid w:val="0044226D"/>
    <w:rsid w:val="00451CED"/>
    <w:rsid w:val="00454261"/>
    <w:rsid w:val="00467D15"/>
    <w:rsid w:val="004733F2"/>
    <w:rsid w:val="00475C10"/>
    <w:rsid w:val="00476E57"/>
    <w:rsid w:val="00480C41"/>
    <w:rsid w:val="00481619"/>
    <w:rsid w:val="00487232"/>
    <w:rsid w:val="004872B0"/>
    <w:rsid w:val="004933DA"/>
    <w:rsid w:val="00496DB8"/>
    <w:rsid w:val="004A2AD3"/>
    <w:rsid w:val="004B2015"/>
    <w:rsid w:val="004C54E2"/>
    <w:rsid w:val="004C7C26"/>
    <w:rsid w:val="004D031D"/>
    <w:rsid w:val="004D06D8"/>
    <w:rsid w:val="004D2FDD"/>
    <w:rsid w:val="004D3F36"/>
    <w:rsid w:val="004D5222"/>
    <w:rsid w:val="004D788B"/>
    <w:rsid w:val="004E1774"/>
    <w:rsid w:val="004F24D5"/>
    <w:rsid w:val="004F39AD"/>
    <w:rsid w:val="004F44F5"/>
    <w:rsid w:val="0050155A"/>
    <w:rsid w:val="00507025"/>
    <w:rsid w:val="005239E3"/>
    <w:rsid w:val="0052451E"/>
    <w:rsid w:val="00527621"/>
    <w:rsid w:val="0053230E"/>
    <w:rsid w:val="00532C77"/>
    <w:rsid w:val="00537A6A"/>
    <w:rsid w:val="00541CBA"/>
    <w:rsid w:val="00541E13"/>
    <w:rsid w:val="00544694"/>
    <w:rsid w:val="00551112"/>
    <w:rsid w:val="00560ABD"/>
    <w:rsid w:val="00564D82"/>
    <w:rsid w:val="00566595"/>
    <w:rsid w:val="00570584"/>
    <w:rsid w:val="005751D4"/>
    <w:rsid w:val="0057619F"/>
    <w:rsid w:val="00584D48"/>
    <w:rsid w:val="005A72ED"/>
    <w:rsid w:val="005B3AF5"/>
    <w:rsid w:val="005B7941"/>
    <w:rsid w:val="005C45C8"/>
    <w:rsid w:val="005C50CF"/>
    <w:rsid w:val="005E00F9"/>
    <w:rsid w:val="005E77CA"/>
    <w:rsid w:val="005F6F5F"/>
    <w:rsid w:val="00614E24"/>
    <w:rsid w:val="00625A5B"/>
    <w:rsid w:val="00626CC3"/>
    <w:rsid w:val="0063013C"/>
    <w:rsid w:val="00637521"/>
    <w:rsid w:val="00657115"/>
    <w:rsid w:val="00660871"/>
    <w:rsid w:val="00665848"/>
    <w:rsid w:val="00666629"/>
    <w:rsid w:val="00675CDE"/>
    <w:rsid w:val="00685C01"/>
    <w:rsid w:val="00687FA2"/>
    <w:rsid w:val="00697D36"/>
    <w:rsid w:val="006C4451"/>
    <w:rsid w:val="006C4692"/>
    <w:rsid w:val="006D487B"/>
    <w:rsid w:val="006D4BF0"/>
    <w:rsid w:val="006E5B6A"/>
    <w:rsid w:val="006F1B37"/>
    <w:rsid w:val="006F6DDC"/>
    <w:rsid w:val="00704A72"/>
    <w:rsid w:val="00707C57"/>
    <w:rsid w:val="00714FE0"/>
    <w:rsid w:val="00722CBD"/>
    <w:rsid w:val="00722EC8"/>
    <w:rsid w:val="00724D70"/>
    <w:rsid w:val="00731ECB"/>
    <w:rsid w:val="00741F14"/>
    <w:rsid w:val="00753D94"/>
    <w:rsid w:val="00784BCC"/>
    <w:rsid w:val="0078577B"/>
    <w:rsid w:val="00786C59"/>
    <w:rsid w:val="00787F13"/>
    <w:rsid w:val="007933CE"/>
    <w:rsid w:val="007955C7"/>
    <w:rsid w:val="007B2D89"/>
    <w:rsid w:val="007C68F4"/>
    <w:rsid w:val="007D20C4"/>
    <w:rsid w:val="007D5D14"/>
    <w:rsid w:val="007E010D"/>
    <w:rsid w:val="007F49F5"/>
    <w:rsid w:val="00812C1F"/>
    <w:rsid w:val="008223BF"/>
    <w:rsid w:val="008424ED"/>
    <w:rsid w:val="00870B50"/>
    <w:rsid w:val="00874408"/>
    <w:rsid w:val="00874F97"/>
    <w:rsid w:val="00877FD9"/>
    <w:rsid w:val="008810B0"/>
    <w:rsid w:val="00882FAE"/>
    <w:rsid w:val="008866FB"/>
    <w:rsid w:val="00887D23"/>
    <w:rsid w:val="008915A2"/>
    <w:rsid w:val="008A2F6D"/>
    <w:rsid w:val="008B075D"/>
    <w:rsid w:val="008D2337"/>
    <w:rsid w:val="008D6FC7"/>
    <w:rsid w:val="008D7A2D"/>
    <w:rsid w:val="008E140D"/>
    <w:rsid w:val="008E3282"/>
    <w:rsid w:val="008F1DF8"/>
    <w:rsid w:val="008F5E40"/>
    <w:rsid w:val="008F64F1"/>
    <w:rsid w:val="00904524"/>
    <w:rsid w:val="00930B59"/>
    <w:rsid w:val="00935B26"/>
    <w:rsid w:val="00937654"/>
    <w:rsid w:val="00942CF1"/>
    <w:rsid w:val="0094503D"/>
    <w:rsid w:val="0094682F"/>
    <w:rsid w:val="00956837"/>
    <w:rsid w:val="00986EC9"/>
    <w:rsid w:val="009A02D4"/>
    <w:rsid w:val="009A0A32"/>
    <w:rsid w:val="009A2557"/>
    <w:rsid w:val="009A6FEC"/>
    <w:rsid w:val="009B690B"/>
    <w:rsid w:val="009C6981"/>
    <w:rsid w:val="009D2104"/>
    <w:rsid w:val="009D2BA1"/>
    <w:rsid w:val="009D38DB"/>
    <w:rsid w:val="009D5466"/>
    <w:rsid w:val="009D6CE1"/>
    <w:rsid w:val="009E2B0D"/>
    <w:rsid w:val="009E318E"/>
    <w:rsid w:val="009E45E3"/>
    <w:rsid w:val="00A0045E"/>
    <w:rsid w:val="00A04529"/>
    <w:rsid w:val="00A12F11"/>
    <w:rsid w:val="00A16BF3"/>
    <w:rsid w:val="00A2734D"/>
    <w:rsid w:val="00A30469"/>
    <w:rsid w:val="00A44B2B"/>
    <w:rsid w:val="00A50AD3"/>
    <w:rsid w:val="00A57850"/>
    <w:rsid w:val="00A66377"/>
    <w:rsid w:val="00A732ED"/>
    <w:rsid w:val="00A74159"/>
    <w:rsid w:val="00A74C00"/>
    <w:rsid w:val="00A75362"/>
    <w:rsid w:val="00A84A11"/>
    <w:rsid w:val="00A91887"/>
    <w:rsid w:val="00AA35D1"/>
    <w:rsid w:val="00AB3CFC"/>
    <w:rsid w:val="00AB7424"/>
    <w:rsid w:val="00AC27DA"/>
    <w:rsid w:val="00AD0AA5"/>
    <w:rsid w:val="00AD79A7"/>
    <w:rsid w:val="00AE77EA"/>
    <w:rsid w:val="00AF1721"/>
    <w:rsid w:val="00AF176D"/>
    <w:rsid w:val="00AF39CE"/>
    <w:rsid w:val="00B0024F"/>
    <w:rsid w:val="00B013DD"/>
    <w:rsid w:val="00B20867"/>
    <w:rsid w:val="00B20FBB"/>
    <w:rsid w:val="00B25808"/>
    <w:rsid w:val="00B25A50"/>
    <w:rsid w:val="00B374B6"/>
    <w:rsid w:val="00B5305F"/>
    <w:rsid w:val="00B57E3D"/>
    <w:rsid w:val="00B6057C"/>
    <w:rsid w:val="00B674A2"/>
    <w:rsid w:val="00B90B37"/>
    <w:rsid w:val="00B973EA"/>
    <w:rsid w:val="00BA2820"/>
    <w:rsid w:val="00BA3B06"/>
    <w:rsid w:val="00BA67F1"/>
    <w:rsid w:val="00BC130E"/>
    <w:rsid w:val="00BC419C"/>
    <w:rsid w:val="00BC6F7B"/>
    <w:rsid w:val="00BD39BF"/>
    <w:rsid w:val="00BD7806"/>
    <w:rsid w:val="00BE0CDB"/>
    <w:rsid w:val="00BE2260"/>
    <w:rsid w:val="00BE2E8B"/>
    <w:rsid w:val="00BF003E"/>
    <w:rsid w:val="00C05630"/>
    <w:rsid w:val="00C114FA"/>
    <w:rsid w:val="00C12E40"/>
    <w:rsid w:val="00C30148"/>
    <w:rsid w:val="00C35844"/>
    <w:rsid w:val="00C513CA"/>
    <w:rsid w:val="00C631F9"/>
    <w:rsid w:val="00C665EC"/>
    <w:rsid w:val="00C90362"/>
    <w:rsid w:val="00C97C20"/>
    <w:rsid w:val="00CA2ECB"/>
    <w:rsid w:val="00CA3A8C"/>
    <w:rsid w:val="00CB0322"/>
    <w:rsid w:val="00CC091E"/>
    <w:rsid w:val="00CD0E38"/>
    <w:rsid w:val="00CD2ABA"/>
    <w:rsid w:val="00CD5130"/>
    <w:rsid w:val="00CE178D"/>
    <w:rsid w:val="00CE446C"/>
    <w:rsid w:val="00CE4578"/>
    <w:rsid w:val="00CF24D0"/>
    <w:rsid w:val="00D00723"/>
    <w:rsid w:val="00D03F66"/>
    <w:rsid w:val="00D04450"/>
    <w:rsid w:val="00D15AB6"/>
    <w:rsid w:val="00D20038"/>
    <w:rsid w:val="00D2637B"/>
    <w:rsid w:val="00D33279"/>
    <w:rsid w:val="00D60FC9"/>
    <w:rsid w:val="00D6293C"/>
    <w:rsid w:val="00D651EF"/>
    <w:rsid w:val="00D70232"/>
    <w:rsid w:val="00D719E6"/>
    <w:rsid w:val="00D75698"/>
    <w:rsid w:val="00D8367A"/>
    <w:rsid w:val="00D94AD1"/>
    <w:rsid w:val="00DA05EA"/>
    <w:rsid w:val="00DA277A"/>
    <w:rsid w:val="00DB2C55"/>
    <w:rsid w:val="00DB35FD"/>
    <w:rsid w:val="00DB3DB1"/>
    <w:rsid w:val="00DC01E8"/>
    <w:rsid w:val="00DC45CD"/>
    <w:rsid w:val="00DD15FE"/>
    <w:rsid w:val="00DD1DD8"/>
    <w:rsid w:val="00DD518B"/>
    <w:rsid w:val="00DD7E16"/>
    <w:rsid w:val="00DE114B"/>
    <w:rsid w:val="00DE1A89"/>
    <w:rsid w:val="00DE2427"/>
    <w:rsid w:val="00DE4F69"/>
    <w:rsid w:val="00E01637"/>
    <w:rsid w:val="00E07B9C"/>
    <w:rsid w:val="00E1477D"/>
    <w:rsid w:val="00E26009"/>
    <w:rsid w:val="00E26B45"/>
    <w:rsid w:val="00E34DCF"/>
    <w:rsid w:val="00E431D4"/>
    <w:rsid w:val="00E52466"/>
    <w:rsid w:val="00E71C91"/>
    <w:rsid w:val="00E76426"/>
    <w:rsid w:val="00E85EA0"/>
    <w:rsid w:val="00EA0DB2"/>
    <w:rsid w:val="00EA4319"/>
    <w:rsid w:val="00EA5FCA"/>
    <w:rsid w:val="00EB1745"/>
    <w:rsid w:val="00EB2180"/>
    <w:rsid w:val="00EB2933"/>
    <w:rsid w:val="00EB4FA2"/>
    <w:rsid w:val="00EC30CE"/>
    <w:rsid w:val="00EC6CAE"/>
    <w:rsid w:val="00ED7E78"/>
    <w:rsid w:val="00EE1AF6"/>
    <w:rsid w:val="00EE3AEA"/>
    <w:rsid w:val="00EF0BAC"/>
    <w:rsid w:val="00EF23F7"/>
    <w:rsid w:val="00EF36BC"/>
    <w:rsid w:val="00EF56AE"/>
    <w:rsid w:val="00EF6F53"/>
    <w:rsid w:val="00F13F8A"/>
    <w:rsid w:val="00F1683B"/>
    <w:rsid w:val="00F17913"/>
    <w:rsid w:val="00F20002"/>
    <w:rsid w:val="00F21C77"/>
    <w:rsid w:val="00F232E1"/>
    <w:rsid w:val="00F26CAB"/>
    <w:rsid w:val="00F2722E"/>
    <w:rsid w:val="00F272A0"/>
    <w:rsid w:val="00F41532"/>
    <w:rsid w:val="00F5333C"/>
    <w:rsid w:val="00F551CF"/>
    <w:rsid w:val="00F61148"/>
    <w:rsid w:val="00F62400"/>
    <w:rsid w:val="00F6271D"/>
    <w:rsid w:val="00F70A62"/>
    <w:rsid w:val="00F731FE"/>
    <w:rsid w:val="00F73DD0"/>
    <w:rsid w:val="00F843C6"/>
    <w:rsid w:val="00F850D2"/>
    <w:rsid w:val="00F918DC"/>
    <w:rsid w:val="00FC573E"/>
    <w:rsid w:val="00FD01EE"/>
    <w:rsid w:val="00FD2EA7"/>
    <w:rsid w:val="00FE58D7"/>
    <w:rsid w:val="00FE7C8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1A2C4"/>
  <w15:chartTrackingRefBased/>
  <w15:docId w15:val="{F29DAA2F-5690-4E4F-A1A1-3D8BBA59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color w:val="4A4C4C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15"/>
  </w:style>
  <w:style w:type="paragraph" w:styleId="Heading1">
    <w:name w:val="heading 1"/>
    <w:basedOn w:val="Normal"/>
    <w:next w:val="Normal"/>
    <w:link w:val="Heading1Char"/>
    <w:uiPriority w:val="9"/>
    <w:qFormat/>
    <w:rsid w:val="009D2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20A"/>
    <w:pPr>
      <w:ind w:left="720"/>
      <w:contextualSpacing/>
    </w:pPr>
    <w:rPr>
      <w:rFonts w:ascii="Verdana" w:hAnsi="Verdana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397D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D1F"/>
    <w:rPr>
      <w:color w:val="954F72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397D1F"/>
    <w:pPr>
      <w:autoSpaceDE w:val="0"/>
      <w:autoSpaceDN w:val="0"/>
      <w:adjustRightInd w:val="0"/>
      <w:spacing w:after="0" w:line="241" w:lineRule="atLeast"/>
    </w:pPr>
    <w:rPr>
      <w:rFonts w:ascii="BentonSans Medium" w:hAnsi="BentonSans Medium"/>
      <w:sz w:val="24"/>
      <w:szCs w:val="24"/>
      <w:lang w:val="en-US"/>
    </w:rPr>
  </w:style>
  <w:style w:type="character" w:customStyle="1" w:styleId="A2">
    <w:name w:val="A2"/>
    <w:uiPriority w:val="99"/>
    <w:rsid w:val="00397D1F"/>
    <w:rPr>
      <w:rFonts w:cs="BentonSans Medium"/>
      <w:color w:val="221E1F"/>
      <w:sz w:val="20"/>
      <w:szCs w:val="20"/>
    </w:rPr>
  </w:style>
  <w:style w:type="character" w:customStyle="1" w:styleId="A7">
    <w:name w:val="A7"/>
    <w:uiPriority w:val="99"/>
    <w:rsid w:val="00397D1F"/>
    <w:rPr>
      <w:rFonts w:cs="BentonSans Medium"/>
      <w:color w:val="000000"/>
    </w:rPr>
  </w:style>
  <w:style w:type="character" w:customStyle="1" w:styleId="A11">
    <w:name w:val="A11"/>
    <w:uiPriority w:val="99"/>
    <w:rsid w:val="008B075D"/>
    <w:rPr>
      <w:rFonts w:cs="BentonSans Regular"/>
      <w:color w:val="221E1F"/>
      <w:sz w:val="17"/>
      <w:szCs w:val="17"/>
    </w:rPr>
  </w:style>
  <w:style w:type="character" w:customStyle="1" w:styleId="A12">
    <w:name w:val="A12"/>
    <w:uiPriority w:val="99"/>
    <w:rsid w:val="008B075D"/>
    <w:rPr>
      <w:rFonts w:cs="BentonSans Regular"/>
      <w:color w:val="0000FF"/>
      <w:sz w:val="17"/>
      <w:szCs w:val="17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0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8F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F6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0D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61"/>
  </w:style>
  <w:style w:type="paragraph" w:styleId="Footer">
    <w:name w:val="footer"/>
    <w:basedOn w:val="Normal"/>
    <w:link w:val="FooterChar"/>
    <w:uiPriority w:val="99"/>
    <w:unhideWhenUsed/>
    <w:rsid w:val="0045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61"/>
  </w:style>
  <w:style w:type="paragraph" w:styleId="FootnoteText">
    <w:name w:val="footnote text"/>
    <w:basedOn w:val="Normal"/>
    <w:link w:val="FootnoteTextChar"/>
    <w:uiPriority w:val="99"/>
    <w:semiHidden/>
    <w:unhideWhenUsed/>
    <w:rsid w:val="005751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1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about-us/about-the-university/equity-at-the-university/about-equity/monitoring--reporting-and-best-practice.html" TargetMode="External"/><Relationship Id="rId13" Type="http://schemas.openxmlformats.org/officeDocument/2006/relationships/hyperlink" Target="https://www.publicservice.govt.nz/assets/SSC-Site-Assets/Workforce-and-Talent-Management/Implementing-the-Gender-Pay-Principles-and-removing-gender-bias-in-recruitment-processes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caastro.org/gender-action-toolki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omensplace.osu.edu/resources/implicit-bias-resourc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kland.ac.nz/en/on-campus/life-on-campus/maori-life-on-campus/revitalising-te-reo-maori/te-kuaha-the-doorway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gtn.ac.nz/__data/assets/pdf_file/0008/1816604/bias-in-recruitment-and-selection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uckland.ac.nz/en/about/the-university/how-university-works/policy-and-administration/equity/te-reo-maori-policy-and-principles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dn.auckland.ac.nz/assets/auckland/about-us/the-university/official-publications/strategic-plan/2021-2030/taumata-teitei-vision-2030-and-strategic-plan-2025.pdf" TargetMode="External"/><Relationship Id="rId14" Type="http://schemas.openxmlformats.org/officeDocument/2006/relationships/hyperlink" Target="https://staff.mq.edu.au/support/people-management/recruitment-and-induction/Inclusive-Recruitment-Guide_2021.pdf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itannica.com/technology/stereotype-printing" TargetMode="External"/><Relationship Id="rId2" Type="http://schemas.openxmlformats.org/officeDocument/2006/relationships/hyperlink" Target="https://www.merriam-webster.com/dictionary/contexts" TargetMode="External"/><Relationship Id="rId1" Type="http://schemas.openxmlformats.org/officeDocument/2006/relationships/hyperlink" Target="https://www.auckland.ac.nz/en/about-us/about-the-university/equity-at-the-university/about-equity/what-is-equity.html" TargetMode="External"/><Relationship Id="rId5" Type="http://schemas.openxmlformats.org/officeDocument/2006/relationships/hyperlink" Target="https://www.britannica.com/topic/social-identity-theory" TargetMode="External"/><Relationship Id="rId4" Type="http://schemas.openxmlformats.org/officeDocument/2006/relationships/hyperlink" Target="https://www.britannica.com/topic/human-behavio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955C-EEA2-4F2D-A0C1-6209FE45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28</cp:revision>
  <dcterms:created xsi:type="dcterms:W3CDTF">2020-07-19T21:06:00Z</dcterms:created>
  <dcterms:modified xsi:type="dcterms:W3CDTF">2021-11-08T01:24:00Z</dcterms:modified>
</cp:coreProperties>
</file>