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EAE53" w14:textId="428F5D57" w:rsidR="00C060C1" w:rsidRDefault="00C060C1" w:rsidP="00ED2861">
      <w:pPr>
        <w:pStyle w:val="Heading1"/>
      </w:pPr>
      <w:r>
        <w:t xml:space="preserve">Step 2: </w:t>
      </w:r>
      <w:r w:rsidR="007858A1">
        <w:t>Scoping the Position</w:t>
      </w:r>
    </w:p>
    <w:p w14:paraId="0630D3E0" w14:textId="77777777" w:rsidR="0095654D" w:rsidRDefault="0095654D" w:rsidP="00ED2861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060C1" w:rsidRPr="004A1550" w14:paraId="0D53C667" w14:textId="77777777" w:rsidTr="007A22A2">
        <w:tc>
          <w:tcPr>
            <w:tcW w:w="2972" w:type="dxa"/>
            <w:shd w:val="clear" w:color="auto" w:fill="D9D9D9" w:themeFill="background1" w:themeFillShade="D9"/>
          </w:tcPr>
          <w:p w14:paraId="3BAB2B4E" w14:textId="77777777" w:rsidR="00C060C1" w:rsidRPr="004A1550" w:rsidRDefault="00C060C1" w:rsidP="007A22A2">
            <w:pPr>
              <w:rPr>
                <w:b/>
                <w:bCs/>
              </w:rPr>
            </w:pPr>
            <w:r w:rsidRPr="004A1550">
              <w:rPr>
                <w:b/>
                <w:bCs/>
              </w:rPr>
              <w:t>Recommendation</w:t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0783FBC2" w14:textId="22E1FEBF" w:rsidR="00C060C1" w:rsidRDefault="008573DD" w:rsidP="008573D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Considerations </w:t>
            </w:r>
            <w:r w:rsidR="00017785">
              <w:rPr>
                <w:b/>
                <w:bCs/>
              </w:rPr>
              <w:t xml:space="preserve">and </w:t>
            </w:r>
            <w:r w:rsidR="00C100F3">
              <w:rPr>
                <w:b/>
                <w:bCs/>
              </w:rPr>
              <w:t>A</w:t>
            </w:r>
            <w:r w:rsidR="00017785">
              <w:rPr>
                <w:b/>
                <w:bCs/>
              </w:rPr>
              <w:t>ctions</w:t>
            </w:r>
          </w:p>
          <w:p w14:paraId="65D3E70D" w14:textId="37EC83AB" w:rsidR="008573DD" w:rsidRPr="004A1550" w:rsidRDefault="008573DD" w:rsidP="008573DD">
            <w:pPr>
              <w:rPr>
                <w:b/>
                <w:bCs/>
              </w:rPr>
            </w:pPr>
          </w:p>
        </w:tc>
      </w:tr>
      <w:tr w:rsidR="00C060C1" w:rsidRPr="004A1550" w14:paraId="27E1F4A6" w14:textId="77777777" w:rsidTr="00C060C1">
        <w:tc>
          <w:tcPr>
            <w:tcW w:w="2972" w:type="dxa"/>
            <w:shd w:val="clear" w:color="auto" w:fill="FFFFFF" w:themeFill="background1"/>
          </w:tcPr>
          <w:p w14:paraId="55AA93AF" w14:textId="46F29E51" w:rsidR="00C060C1" w:rsidRPr="00ED2861" w:rsidRDefault="007858A1" w:rsidP="007A22A2">
            <w:r>
              <w:t>E</w:t>
            </w:r>
            <w:r w:rsidRPr="00ED2861">
              <w:t>nsure the</w:t>
            </w:r>
            <w:r>
              <w:t xml:space="preserve"> position</w:t>
            </w:r>
            <w:r w:rsidRPr="00ED2861">
              <w:t xml:space="preserve"> relate</w:t>
            </w:r>
            <w:r>
              <w:t>s</w:t>
            </w:r>
            <w:r w:rsidRPr="00ED2861">
              <w:t xml:space="preserve"> to current and future University and department needs</w:t>
            </w:r>
          </w:p>
        </w:tc>
        <w:tc>
          <w:tcPr>
            <w:tcW w:w="6044" w:type="dxa"/>
            <w:shd w:val="clear" w:color="auto" w:fill="FFFFFF" w:themeFill="background1"/>
          </w:tcPr>
          <w:p w14:paraId="0A93057A" w14:textId="40244F68" w:rsidR="00ED2861" w:rsidRDefault="00ED2861" w:rsidP="00ED2861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 w:rsidRPr="00ED2861">
              <w:rPr>
                <w:rFonts w:ascii="Segoe UI" w:hAnsi="Segoe UI" w:cs="Segoe UI"/>
              </w:rPr>
              <w:t>Evaluate requirements and responsibilities of the position to ensure they</w:t>
            </w:r>
            <w:r w:rsidR="0097608E">
              <w:rPr>
                <w:rFonts w:ascii="Segoe UI" w:hAnsi="Segoe UI" w:cs="Segoe UI"/>
              </w:rPr>
              <w:t xml:space="preserve"> meet University and department needs </w:t>
            </w:r>
            <w:r w:rsidRPr="00ED2861">
              <w:rPr>
                <w:rFonts w:ascii="Segoe UI" w:hAnsi="Segoe UI" w:cs="Segoe UI"/>
              </w:rPr>
              <w:t>including increasing representation of Māori and equity groups</w:t>
            </w:r>
          </w:p>
          <w:p w14:paraId="4C0714C2" w14:textId="4236ED2E" w:rsidR="003C08E0" w:rsidRDefault="003C08E0" w:rsidP="00ED2861">
            <w:pPr>
              <w:pStyle w:val="ListParagraph"/>
              <w:numPr>
                <w:ilvl w:val="0"/>
                <w:numId w:val="2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Consider areas of work overload particularly for </w:t>
            </w:r>
            <w:r>
              <w:rPr>
                <w:rFonts w:ascii="Segoe UI" w:hAnsi="Segoe UI" w:cs="Segoe UI"/>
                <w:lang w:val="mi-NZ"/>
              </w:rPr>
              <w:t>Māori</w:t>
            </w:r>
            <w:r>
              <w:rPr>
                <w:rFonts w:ascii="Segoe UI" w:hAnsi="Segoe UI" w:cs="Segoe UI"/>
              </w:rPr>
              <w:t xml:space="preserve"> and equity groups</w:t>
            </w:r>
          </w:p>
          <w:p w14:paraId="02340981" w14:textId="00C2F398" w:rsidR="001B6AE1" w:rsidRDefault="001B6AE1" w:rsidP="001B6AE1">
            <w:pPr>
              <w:pStyle w:val="ListParagraph"/>
              <w:numPr>
                <w:ilvl w:val="1"/>
                <w:numId w:val="2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Refer to </w:t>
            </w:r>
            <w:hyperlink r:id="rId7" w:history="1">
              <w:r w:rsidR="00917BEE">
                <w:rPr>
                  <w:rStyle w:val="Hyperlink"/>
                  <w:rFonts w:ascii="Segoe UI" w:hAnsi="Segoe UI" w:cs="Segoe UI"/>
                </w:rPr>
                <w:t xml:space="preserve">University Strategic Plan </w:t>
              </w:r>
              <w:proofErr w:type="spellStart"/>
              <w:r w:rsidR="00917BEE">
                <w:rPr>
                  <w:rStyle w:val="Hyperlink"/>
                  <w:rFonts w:ascii="Segoe UI" w:hAnsi="Segoe UI" w:cs="Segoe UI"/>
                </w:rPr>
                <w:t>Taumata</w:t>
              </w:r>
              <w:proofErr w:type="spellEnd"/>
              <w:r w:rsidR="00917BEE">
                <w:rPr>
                  <w:rStyle w:val="Hyperlink"/>
                  <w:rFonts w:ascii="Segoe UI" w:hAnsi="Segoe UI" w:cs="Segoe UI"/>
                </w:rPr>
                <w:t xml:space="preserve"> </w:t>
              </w:r>
              <w:proofErr w:type="spellStart"/>
              <w:r w:rsidR="00917BEE">
                <w:rPr>
                  <w:rStyle w:val="Hyperlink"/>
                  <w:rFonts w:ascii="Segoe UI" w:hAnsi="Segoe UI" w:cs="Segoe UI"/>
                </w:rPr>
                <w:t>Teitei</w:t>
              </w:r>
              <w:proofErr w:type="spellEnd"/>
            </w:hyperlink>
            <w:r w:rsidR="00917BEE">
              <w:rPr>
                <w:rFonts w:ascii="Segoe UI" w:hAnsi="Segoe UI" w:cs="Segoe UI"/>
              </w:rPr>
              <w:t xml:space="preserve"> </w:t>
            </w:r>
          </w:p>
          <w:p w14:paraId="160ACD9B" w14:textId="2C30C923" w:rsidR="001B6AE1" w:rsidRPr="00ED2861" w:rsidRDefault="001B6AE1" w:rsidP="001B6AE1">
            <w:pPr>
              <w:pStyle w:val="ListParagraph"/>
              <w:numPr>
                <w:ilvl w:val="1"/>
                <w:numId w:val="2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Refer to Faculty/Division Strategic Plan</w:t>
            </w:r>
          </w:p>
          <w:p w14:paraId="0BF0971D" w14:textId="77777777" w:rsidR="00C060C1" w:rsidRPr="004A1550" w:rsidRDefault="00C060C1" w:rsidP="007A22A2">
            <w:pPr>
              <w:rPr>
                <w:b/>
                <w:bCs/>
              </w:rPr>
            </w:pPr>
          </w:p>
        </w:tc>
      </w:tr>
      <w:tr w:rsidR="00C060C1" w:rsidRPr="004A1550" w14:paraId="6EE297D4" w14:textId="77777777" w:rsidTr="00C060C1">
        <w:tc>
          <w:tcPr>
            <w:tcW w:w="2972" w:type="dxa"/>
            <w:shd w:val="clear" w:color="auto" w:fill="FFFFFF" w:themeFill="background1"/>
          </w:tcPr>
          <w:p w14:paraId="7DCB1B8F" w14:textId="3BD3FD7E" w:rsidR="00C060C1" w:rsidRPr="008F632D" w:rsidRDefault="0097608E" w:rsidP="0097608E">
            <w:pPr>
              <w:pStyle w:val="ListParagraph"/>
              <w:numPr>
                <w:ilvl w:val="0"/>
                <w:numId w:val="1"/>
              </w:numPr>
              <w:ind w:left="31"/>
              <w:rPr>
                <w:rFonts w:ascii="Segoe UI" w:hAnsi="Segoe UI" w:cs="Segoe UI"/>
              </w:rPr>
            </w:pPr>
            <w:r w:rsidRPr="008F632D">
              <w:rPr>
                <w:rFonts w:ascii="Segoe UI" w:hAnsi="Segoe UI" w:cs="Segoe UI"/>
              </w:rPr>
              <w:t xml:space="preserve">Avoid </w:t>
            </w:r>
            <w:r w:rsidR="008F632D" w:rsidRPr="008F632D">
              <w:rPr>
                <w:rFonts w:ascii="Segoe UI" w:hAnsi="Segoe UI" w:cs="Segoe UI"/>
              </w:rPr>
              <w:t>inherent</w:t>
            </w:r>
            <w:r w:rsidRPr="008F632D">
              <w:rPr>
                <w:rFonts w:ascii="Segoe UI" w:hAnsi="Segoe UI" w:cs="Segoe UI"/>
              </w:rPr>
              <w:t xml:space="preserve"> bias in job scoping </w:t>
            </w:r>
          </w:p>
        </w:tc>
        <w:tc>
          <w:tcPr>
            <w:tcW w:w="6044" w:type="dxa"/>
            <w:shd w:val="clear" w:color="auto" w:fill="FFFFFF" w:themeFill="background1"/>
          </w:tcPr>
          <w:p w14:paraId="29B8BFA2" w14:textId="22CDEA52" w:rsidR="00FE19D9" w:rsidRPr="003D06EC" w:rsidRDefault="008F632D" w:rsidP="00FE19D9">
            <w:pPr>
              <w:pStyle w:val="ListParagraph"/>
              <w:numPr>
                <w:ilvl w:val="0"/>
                <w:numId w:val="1"/>
              </w:numPr>
              <w:ind w:left="31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Ensure job analysis focuses on task components rather than on embedded gendered </w:t>
            </w:r>
            <w:r w:rsidR="001B6AE1">
              <w:rPr>
                <w:rFonts w:ascii="Segoe UI" w:hAnsi="Segoe UI" w:cs="Segoe UI"/>
              </w:rPr>
              <w:t xml:space="preserve">or ethnic-specific </w:t>
            </w:r>
            <w:r>
              <w:rPr>
                <w:rFonts w:ascii="Segoe UI" w:hAnsi="Segoe UI" w:cs="Segoe UI"/>
              </w:rPr>
              <w:t xml:space="preserve">norms and biases which can create preconceptions about who is </w:t>
            </w:r>
            <w:r w:rsidRPr="003D06EC">
              <w:rPr>
                <w:rFonts w:ascii="Segoe UI" w:hAnsi="Segoe UI" w:cs="Segoe UI"/>
              </w:rPr>
              <w:t>best suited to certain occupations</w:t>
            </w:r>
          </w:p>
          <w:p w14:paraId="28C067F2" w14:textId="2C44C388" w:rsidR="00FE19D9" w:rsidRPr="003D06EC" w:rsidRDefault="00FE19D9" w:rsidP="002250C8">
            <w:pPr>
              <w:pStyle w:val="ListParagraph"/>
              <w:numPr>
                <w:ilvl w:val="1"/>
                <w:numId w:val="1"/>
              </w:numPr>
              <w:ind w:left="1022"/>
              <w:rPr>
                <w:rStyle w:val="Hyperlink"/>
                <w:rFonts w:ascii="Segoe UI" w:hAnsi="Segoe UI" w:cs="Segoe UI"/>
                <w:color w:val="auto"/>
                <w:u w:val="none"/>
              </w:rPr>
            </w:pPr>
            <w:r w:rsidRPr="003D06EC">
              <w:rPr>
                <w:rFonts w:ascii="Segoe UI" w:hAnsi="Segoe UI" w:cs="Segoe UI"/>
              </w:rPr>
              <w:t xml:space="preserve">See </w:t>
            </w:r>
            <w:hyperlink r:id="rId8" w:history="1">
              <w:r w:rsidRPr="003D06EC">
                <w:rPr>
                  <w:rStyle w:val="Hyperlink"/>
                  <w:rFonts w:ascii="Segoe UI" w:hAnsi="Segoe UI" w:cs="Segoe UI"/>
                </w:rPr>
                <w:t>Gender-inclusive job evaluation standard</w:t>
              </w:r>
            </w:hyperlink>
          </w:p>
          <w:p w14:paraId="74CE4601" w14:textId="7F29824C" w:rsidR="003D06EC" w:rsidRPr="003D06EC" w:rsidRDefault="003D06EC" w:rsidP="003D06EC">
            <w:pPr>
              <w:pStyle w:val="ListParagraph"/>
              <w:numPr>
                <w:ilvl w:val="0"/>
                <w:numId w:val="1"/>
              </w:numPr>
              <w:ind w:left="313"/>
              <w:rPr>
                <w:rStyle w:val="Hyperlink"/>
                <w:rFonts w:ascii="Segoe UI" w:hAnsi="Segoe UI" w:cs="Segoe UI"/>
                <w:color w:val="auto"/>
                <w:u w:val="none"/>
              </w:rPr>
            </w:pPr>
            <w:r w:rsidRPr="003D06EC">
              <w:rPr>
                <w:rFonts w:ascii="Segoe UI" w:hAnsi="Segoe UI" w:cs="Segoe UI"/>
              </w:rPr>
              <w:t>Ensure position profiles are formulated broadly and don’t signal pre-selection through specific requirements.</w:t>
            </w:r>
          </w:p>
          <w:p w14:paraId="73ED3A4D" w14:textId="0C89D9B4" w:rsidR="003A0777" w:rsidRPr="003D06EC" w:rsidRDefault="003A0777" w:rsidP="003D06EC"/>
        </w:tc>
      </w:tr>
      <w:tr w:rsidR="00C060C1" w:rsidRPr="004A1550" w14:paraId="262F95AA" w14:textId="77777777" w:rsidTr="00C060C1">
        <w:tc>
          <w:tcPr>
            <w:tcW w:w="2972" w:type="dxa"/>
            <w:shd w:val="clear" w:color="auto" w:fill="FFFFFF" w:themeFill="background1"/>
          </w:tcPr>
          <w:p w14:paraId="0EB38E7C" w14:textId="01CDA1F9" w:rsidR="00C060C1" w:rsidRPr="008F632D" w:rsidRDefault="008F632D" w:rsidP="008F632D">
            <w:pPr>
              <w:pStyle w:val="ListParagraph"/>
              <w:numPr>
                <w:ilvl w:val="0"/>
                <w:numId w:val="1"/>
              </w:numPr>
              <w:ind w:left="31"/>
              <w:rPr>
                <w:rFonts w:ascii="Segoe UI" w:hAnsi="Segoe UI" w:cs="Segoe UI"/>
              </w:rPr>
            </w:pPr>
            <w:r w:rsidRPr="008F632D">
              <w:rPr>
                <w:rFonts w:ascii="Segoe UI" w:hAnsi="Segoe UI" w:cs="Segoe UI"/>
              </w:rPr>
              <w:t>Identify</w:t>
            </w:r>
            <w:r>
              <w:rPr>
                <w:rFonts w:ascii="Segoe UI" w:hAnsi="Segoe UI" w:cs="Segoe UI"/>
              </w:rPr>
              <w:t xml:space="preserve"> </w:t>
            </w:r>
            <w:r w:rsidR="003A0777">
              <w:rPr>
                <w:rFonts w:ascii="Segoe UI" w:hAnsi="Segoe UI" w:cs="Segoe UI"/>
              </w:rPr>
              <w:t xml:space="preserve">and give appropriate weight to </w:t>
            </w:r>
            <w:r>
              <w:rPr>
                <w:rFonts w:ascii="Segoe UI" w:hAnsi="Segoe UI" w:cs="Segoe UI"/>
              </w:rPr>
              <w:t>hidden skills essential to performing the job</w:t>
            </w:r>
          </w:p>
        </w:tc>
        <w:tc>
          <w:tcPr>
            <w:tcW w:w="6044" w:type="dxa"/>
            <w:shd w:val="clear" w:color="auto" w:fill="FFFFFF" w:themeFill="background1"/>
          </w:tcPr>
          <w:p w14:paraId="21D71E87" w14:textId="77777777" w:rsidR="003A0777" w:rsidRPr="003A0777" w:rsidRDefault="008F632D" w:rsidP="003A0777">
            <w:pPr>
              <w:pStyle w:val="ListParagraph"/>
              <w:numPr>
                <w:ilvl w:val="0"/>
                <w:numId w:val="1"/>
              </w:numPr>
              <w:ind w:left="319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Consider use of NZ Employment’s </w:t>
            </w:r>
            <w:r w:rsidRPr="008F632D">
              <w:rPr>
                <w:rFonts w:ascii="Segoe UI" w:hAnsi="Segoe UI" w:cs="Segoe UI"/>
              </w:rPr>
              <w:t xml:space="preserve"> </w:t>
            </w:r>
            <w:hyperlink r:id="rId9" w:history="1">
              <w:r w:rsidRPr="008F632D">
                <w:rPr>
                  <w:rStyle w:val="Hyperlink"/>
                  <w:rFonts w:ascii="Segoe UI" w:hAnsi="Segoe UI" w:cs="Segoe UI"/>
                </w:rPr>
                <w:t>Spotlight Tool</w:t>
              </w:r>
            </w:hyperlink>
            <w:r w:rsidRPr="008F632D">
              <w:rPr>
                <w:rFonts w:ascii="Segoe UI" w:hAnsi="Segoe UI" w:cs="Segoe UI"/>
              </w:rPr>
              <w:t xml:space="preserve"> </w:t>
            </w:r>
            <w:r>
              <w:rPr>
                <w:rFonts w:ascii="Segoe UI" w:hAnsi="Segoe UI" w:cs="Segoe UI"/>
              </w:rPr>
              <w:t>to provide a framework and examples to help identify and categorise often overlooked and undervalued skills</w:t>
            </w:r>
            <w:r w:rsidR="003A0777">
              <w:rPr>
                <w:rFonts w:ascii="Segoe UI" w:hAnsi="Segoe UI" w:cs="Segoe UI"/>
              </w:rPr>
              <w:t xml:space="preserve"> such as </w:t>
            </w:r>
            <w:r w:rsidR="003A0777" w:rsidRPr="003A0777">
              <w:rPr>
                <w:rFonts w:ascii="Segoe UI" w:hAnsi="Segoe UI" w:cs="Segoe UI"/>
              </w:rPr>
              <w:t>communication skills, emotional intelligence, cross-cultural expertise, etc</w:t>
            </w:r>
          </w:p>
          <w:p w14:paraId="196DD921" w14:textId="764555BC" w:rsidR="003A0777" w:rsidRPr="008F632D" w:rsidRDefault="003A0777" w:rsidP="00FE19D9">
            <w:pPr>
              <w:pStyle w:val="ListParagraph"/>
              <w:ind w:left="319"/>
              <w:rPr>
                <w:rFonts w:ascii="Segoe UI" w:hAnsi="Segoe UI" w:cs="Segoe UI"/>
              </w:rPr>
            </w:pPr>
          </w:p>
        </w:tc>
      </w:tr>
      <w:tr w:rsidR="00C060C1" w:rsidRPr="004A1550" w14:paraId="7D291EC3" w14:textId="77777777" w:rsidTr="00C060C1">
        <w:tc>
          <w:tcPr>
            <w:tcW w:w="2972" w:type="dxa"/>
            <w:shd w:val="clear" w:color="auto" w:fill="FFFFFF" w:themeFill="background1"/>
          </w:tcPr>
          <w:p w14:paraId="352EEEE0" w14:textId="77777777" w:rsidR="00280CD9" w:rsidRPr="00280CD9" w:rsidRDefault="00FC61A7" w:rsidP="007A22A2">
            <w:pPr>
              <w:rPr>
                <w:color w:val="auto"/>
              </w:rPr>
            </w:pPr>
            <w:bookmarkStart w:id="0" w:name="_Hlk72323701"/>
            <w:r w:rsidRPr="00280CD9">
              <w:rPr>
                <w:color w:val="auto"/>
              </w:rPr>
              <w:t xml:space="preserve">Recognise </w:t>
            </w:r>
            <w:r w:rsidR="00280CD9" w:rsidRPr="00280CD9">
              <w:rPr>
                <w:color w:val="auto"/>
              </w:rPr>
              <w:t>flexible ways of working</w:t>
            </w:r>
          </w:p>
          <w:p w14:paraId="6C81B506" w14:textId="09F3B5D3" w:rsidR="00C060C1" w:rsidRPr="00280CD9" w:rsidRDefault="00C060C1" w:rsidP="007A22A2">
            <w:pPr>
              <w:rPr>
                <w:strike/>
              </w:rPr>
            </w:pPr>
          </w:p>
        </w:tc>
        <w:tc>
          <w:tcPr>
            <w:tcW w:w="6044" w:type="dxa"/>
            <w:shd w:val="clear" w:color="auto" w:fill="FFFFFF" w:themeFill="background1"/>
          </w:tcPr>
          <w:p w14:paraId="566706E5" w14:textId="0D618BB7" w:rsidR="00CC72AA" w:rsidRPr="002250C8" w:rsidRDefault="00CC72AA" w:rsidP="003A0777">
            <w:pPr>
              <w:pStyle w:val="ListParagraph"/>
              <w:numPr>
                <w:ilvl w:val="0"/>
                <w:numId w:val="1"/>
              </w:numPr>
              <w:ind w:left="319" w:hanging="385"/>
              <w:rPr>
                <w:rFonts w:ascii="Segoe UI" w:hAnsi="Segoe UI" w:cs="Segoe UI"/>
              </w:rPr>
            </w:pPr>
            <w:r w:rsidRPr="002250C8">
              <w:rPr>
                <w:rFonts w:ascii="Segoe UI" w:hAnsi="Segoe UI" w:cs="Segoe UI"/>
              </w:rPr>
              <w:t>Flexible working arrangements are increasingly sought by many applicants for a variety of reasons</w:t>
            </w:r>
          </w:p>
          <w:p w14:paraId="7239A1A7" w14:textId="4A434C1B" w:rsidR="00D926C4" w:rsidRPr="002250C8" w:rsidRDefault="00D926C4" w:rsidP="003A0777">
            <w:pPr>
              <w:pStyle w:val="ListParagraph"/>
              <w:numPr>
                <w:ilvl w:val="0"/>
                <w:numId w:val="1"/>
              </w:numPr>
              <w:ind w:left="319" w:hanging="385"/>
              <w:rPr>
                <w:rFonts w:ascii="Segoe UI" w:hAnsi="Segoe UI" w:cs="Segoe UI"/>
              </w:rPr>
            </w:pPr>
            <w:r w:rsidRPr="002250C8">
              <w:rPr>
                <w:rFonts w:ascii="Segoe UI" w:hAnsi="Segoe UI" w:cs="Segoe UI"/>
              </w:rPr>
              <w:t>Consider creative options for structuring work</w:t>
            </w:r>
          </w:p>
          <w:p w14:paraId="7EFC6360" w14:textId="2AD2D664" w:rsidR="00C060C1" w:rsidRPr="002250C8" w:rsidRDefault="003A0777" w:rsidP="003A0777">
            <w:pPr>
              <w:pStyle w:val="ListParagraph"/>
              <w:numPr>
                <w:ilvl w:val="0"/>
                <w:numId w:val="1"/>
              </w:numPr>
              <w:ind w:left="319" w:hanging="385"/>
              <w:rPr>
                <w:rFonts w:ascii="Segoe UI" w:hAnsi="Segoe UI" w:cs="Segoe UI"/>
              </w:rPr>
            </w:pPr>
            <w:r w:rsidRPr="002250C8">
              <w:rPr>
                <w:rFonts w:ascii="Segoe UI" w:hAnsi="Segoe UI" w:cs="Segoe UI"/>
              </w:rPr>
              <w:t xml:space="preserve">Consider </w:t>
            </w:r>
            <w:r w:rsidR="00CC72AA" w:rsidRPr="002250C8">
              <w:rPr>
                <w:rFonts w:ascii="Segoe UI" w:hAnsi="Segoe UI" w:cs="Segoe UI"/>
              </w:rPr>
              <w:t xml:space="preserve">some applicants may have </w:t>
            </w:r>
            <w:proofErr w:type="gramStart"/>
            <w:r w:rsidR="00CC72AA" w:rsidRPr="002250C8">
              <w:rPr>
                <w:rFonts w:ascii="Segoe UI" w:hAnsi="Segoe UI" w:cs="Segoe UI"/>
              </w:rPr>
              <w:t>particular needs</w:t>
            </w:r>
            <w:proofErr w:type="gramEnd"/>
            <w:r w:rsidR="00CC72AA" w:rsidRPr="002250C8">
              <w:rPr>
                <w:rFonts w:ascii="Segoe UI" w:hAnsi="Segoe UI" w:cs="Segoe UI"/>
              </w:rPr>
              <w:t xml:space="preserve"> due to caring responsibilities, iwi, </w:t>
            </w:r>
            <w:proofErr w:type="spellStart"/>
            <w:r w:rsidR="00CC72AA" w:rsidRPr="002250C8">
              <w:rPr>
                <w:rFonts w:ascii="Segoe UI" w:hAnsi="Segoe UI" w:cs="Segoe UI"/>
              </w:rPr>
              <w:t>hapu</w:t>
            </w:r>
            <w:proofErr w:type="spellEnd"/>
            <w:r w:rsidR="00CC72AA" w:rsidRPr="002250C8">
              <w:rPr>
                <w:rFonts w:ascii="Segoe UI" w:hAnsi="Segoe UI" w:cs="Segoe UI"/>
              </w:rPr>
              <w:t xml:space="preserve">, </w:t>
            </w:r>
            <w:proofErr w:type="spellStart"/>
            <w:r w:rsidR="00CC72AA" w:rsidRPr="002250C8">
              <w:rPr>
                <w:rFonts w:ascii="Segoe UI" w:hAnsi="Segoe UI" w:cs="Segoe UI"/>
              </w:rPr>
              <w:t>whānau</w:t>
            </w:r>
            <w:proofErr w:type="spellEnd"/>
            <w:r w:rsidR="00CC72AA" w:rsidRPr="002250C8">
              <w:rPr>
                <w:rFonts w:ascii="Segoe UI" w:hAnsi="Segoe UI" w:cs="Segoe UI"/>
              </w:rPr>
              <w:t xml:space="preserve"> obligations, disability considerations etc</w:t>
            </w:r>
          </w:p>
          <w:p w14:paraId="757794D7" w14:textId="742B4B66" w:rsidR="009C60A8" w:rsidRPr="002250C8" w:rsidRDefault="009C60A8" w:rsidP="003A0777">
            <w:pPr>
              <w:pStyle w:val="ListParagraph"/>
              <w:numPr>
                <w:ilvl w:val="0"/>
                <w:numId w:val="1"/>
              </w:numPr>
              <w:ind w:left="319" w:hanging="385"/>
              <w:rPr>
                <w:rFonts w:ascii="Segoe UI" w:hAnsi="Segoe UI" w:cs="Segoe UI"/>
              </w:rPr>
            </w:pPr>
            <w:r w:rsidRPr="002250C8">
              <w:rPr>
                <w:rFonts w:ascii="Segoe UI" w:hAnsi="Segoe UI" w:cs="Segoe UI"/>
              </w:rPr>
              <w:t>Discuss team approaches to managing flexible work</w:t>
            </w:r>
          </w:p>
          <w:p w14:paraId="12CB4297" w14:textId="39DEE8D4" w:rsidR="00917BEE" w:rsidRDefault="0094781B" w:rsidP="00917BEE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hyperlink r:id="rId10" w:history="1">
              <w:r w:rsidR="00917BEE">
                <w:rPr>
                  <w:rStyle w:val="Hyperlink"/>
                  <w:rFonts w:ascii="Segoe UI" w:hAnsi="Segoe UI" w:cs="Segoe UI"/>
                </w:rPr>
                <w:t>Flexible Work Policy and Procedures</w:t>
              </w:r>
            </w:hyperlink>
          </w:p>
          <w:p w14:paraId="5223C8E8" w14:textId="292530BB" w:rsidR="00917BEE" w:rsidRPr="002250C8" w:rsidRDefault="0094781B" w:rsidP="00917BEE">
            <w:pPr>
              <w:pStyle w:val="ListParagraph"/>
              <w:numPr>
                <w:ilvl w:val="0"/>
                <w:numId w:val="1"/>
              </w:numPr>
              <w:rPr>
                <w:rFonts w:ascii="Segoe UI" w:hAnsi="Segoe UI" w:cs="Segoe UI"/>
              </w:rPr>
            </w:pPr>
            <w:hyperlink r:id="rId11" w:history="1">
              <w:r w:rsidR="00917BEE">
                <w:rPr>
                  <w:rStyle w:val="Hyperlink"/>
                  <w:rFonts w:ascii="Segoe UI" w:hAnsi="Segoe UI" w:cs="Segoe UI"/>
                </w:rPr>
                <w:t>About Flexible Working</w:t>
              </w:r>
            </w:hyperlink>
            <w:r w:rsidR="00917BEE">
              <w:rPr>
                <w:rFonts w:ascii="Segoe UI" w:hAnsi="Segoe UI" w:cs="Segoe UI"/>
              </w:rPr>
              <w:t xml:space="preserve"> </w:t>
            </w:r>
          </w:p>
          <w:p w14:paraId="470A9CAB" w14:textId="4B250F22" w:rsidR="009C60A8" w:rsidRPr="002250C8" w:rsidRDefault="009C60A8" w:rsidP="009C60A8">
            <w:pPr>
              <w:pStyle w:val="ListParagraph"/>
              <w:ind w:left="319"/>
              <w:rPr>
                <w:rFonts w:ascii="Segoe UI" w:hAnsi="Segoe UI" w:cs="Segoe UI"/>
              </w:rPr>
            </w:pPr>
          </w:p>
        </w:tc>
      </w:tr>
      <w:bookmarkEnd w:id="0"/>
      <w:tr w:rsidR="00CC72AA" w:rsidRPr="004A1550" w14:paraId="17C84B24" w14:textId="77777777" w:rsidTr="00C060C1">
        <w:tc>
          <w:tcPr>
            <w:tcW w:w="2972" w:type="dxa"/>
            <w:shd w:val="clear" w:color="auto" w:fill="FFFFFF" w:themeFill="background1"/>
          </w:tcPr>
          <w:p w14:paraId="02CCD5AF" w14:textId="33E08E31" w:rsidR="00CC72AA" w:rsidRPr="008F632D" w:rsidRDefault="00834006" w:rsidP="00CC72AA">
            <w:r>
              <w:t>Understand</w:t>
            </w:r>
            <w:r w:rsidR="00CC72AA" w:rsidRPr="004D3AC8">
              <w:t xml:space="preserve"> why the vacancy has come about</w:t>
            </w:r>
          </w:p>
        </w:tc>
        <w:tc>
          <w:tcPr>
            <w:tcW w:w="6044" w:type="dxa"/>
            <w:shd w:val="clear" w:color="auto" w:fill="FFFFFF" w:themeFill="background1"/>
          </w:tcPr>
          <w:p w14:paraId="194E88E2" w14:textId="2956BFAF" w:rsidR="00CC72AA" w:rsidRPr="004D3AC8" w:rsidRDefault="00CC72AA" w:rsidP="00CC72AA">
            <w:pPr>
              <w:pStyle w:val="ListParagraph"/>
              <w:numPr>
                <w:ilvl w:val="0"/>
                <w:numId w:val="1"/>
              </w:numPr>
              <w:ind w:left="319"/>
              <w:rPr>
                <w:rFonts w:ascii="Segoe UI" w:hAnsi="Segoe UI" w:cs="Segoe UI"/>
              </w:rPr>
            </w:pPr>
            <w:r w:rsidRPr="004D3AC8">
              <w:rPr>
                <w:rFonts w:ascii="Segoe UI" w:hAnsi="Segoe UI" w:cs="Segoe UI"/>
              </w:rPr>
              <w:t xml:space="preserve">Did the previous incumbent leave due to stress, bullying, work overload, </w:t>
            </w:r>
            <w:r w:rsidR="003C08E0">
              <w:rPr>
                <w:rFonts w:ascii="Segoe UI" w:hAnsi="Segoe UI" w:cs="Segoe UI"/>
              </w:rPr>
              <w:t xml:space="preserve">was headhunted </w:t>
            </w:r>
            <w:r w:rsidRPr="004D3AC8">
              <w:rPr>
                <w:rFonts w:ascii="Segoe UI" w:hAnsi="Segoe UI" w:cs="Segoe UI"/>
              </w:rPr>
              <w:t>etc</w:t>
            </w:r>
            <w:r w:rsidR="00FE19D9">
              <w:rPr>
                <w:rFonts w:ascii="Segoe UI" w:hAnsi="Segoe UI" w:cs="Segoe UI"/>
              </w:rPr>
              <w:t>?</w:t>
            </w:r>
            <w:r w:rsidRPr="004D3AC8">
              <w:rPr>
                <w:rFonts w:ascii="Segoe UI" w:hAnsi="Segoe UI" w:cs="Segoe UI"/>
              </w:rPr>
              <w:t xml:space="preserve"> If so, have these issues been addressed?</w:t>
            </w:r>
            <w:r w:rsidR="003C08E0">
              <w:rPr>
                <w:rFonts w:ascii="Segoe UI" w:hAnsi="Segoe UI" w:cs="Segoe UI"/>
              </w:rPr>
              <w:t xml:space="preserve"> Does this indicate any pattern?</w:t>
            </w:r>
          </w:p>
          <w:p w14:paraId="072E56E5" w14:textId="77777777" w:rsidR="00CC72AA" w:rsidRPr="008F632D" w:rsidRDefault="00CC72AA" w:rsidP="00CC72AA"/>
        </w:tc>
      </w:tr>
      <w:tr w:rsidR="004C3BDA" w:rsidRPr="00441A26" w14:paraId="459C7F86" w14:textId="77777777" w:rsidTr="00EE1665">
        <w:tc>
          <w:tcPr>
            <w:tcW w:w="2972" w:type="dxa"/>
          </w:tcPr>
          <w:p w14:paraId="21D7316C" w14:textId="4890D4A3" w:rsidR="004C3BDA" w:rsidRPr="00441A26" w:rsidRDefault="004C3BDA" w:rsidP="009C3D5C">
            <w:r>
              <w:t>Where appropriate</w:t>
            </w:r>
            <w:r w:rsidR="009C3D5C">
              <w:t>,</w:t>
            </w:r>
            <w:r>
              <w:t xml:space="preserve"> consider in</w:t>
            </w:r>
            <w:r w:rsidRPr="00441A26">
              <w:t>troduc</w:t>
            </w:r>
            <w:r>
              <w:t>ing</w:t>
            </w:r>
            <w:r w:rsidRPr="00441A26">
              <w:t xml:space="preserve"> Special Measures to ensure equal outcomes</w:t>
            </w:r>
            <w:r w:rsidR="009C3D5C">
              <w:t xml:space="preserve">. </w:t>
            </w:r>
          </w:p>
        </w:tc>
        <w:tc>
          <w:tcPr>
            <w:tcW w:w="6044" w:type="dxa"/>
          </w:tcPr>
          <w:p w14:paraId="7C6D1E48" w14:textId="55B27644" w:rsidR="004C3BDA" w:rsidRPr="00441A26" w:rsidRDefault="0094781B" w:rsidP="004C3BDA">
            <w:pPr>
              <w:autoSpaceDE w:val="0"/>
              <w:autoSpaceDN w:val="0"/>
              <w:adjustRightInd w:val="0"/>
              <w:ind w:left="315"/>
              <w:rPr>
                <w:color w:val="333332"/>
                <w:lang w:val="en-US"/>
              </w:rPr>
            </w:pPr>
            <w:hyperlink r:id="rId12" w:history="1">
              <w:r w:rsidR="004C3BDA" w:rsidRPr="00441A26">
                <w:rPr>
                  <w:rStyle w:val="Hyperlink"/>
                </w:rPr>
                <w:t>Positive actions to achieve equality</w:t>
              </w:r>
            </w:hyperlink>
            <w:r w:rsidR="004C3BDA" w:rsidRPr="00441A26">
              <w:rPr>
                <w:color w:val="3864A2"/>
                <w:lang w:val="en-US"/>
              </w:rPr>
              <w:t xml:space="preserve"> </w:t>
            </w:r>
            <w:r w:rsidR="004C3BDA" w:rsidRPr="00441A26">
              <w:rPr>
                <w:color w:val="333332"/>
                <w:lang w:val="en-US"/>
              </w:rPr>
              <w:t>(special measures) are</w:t>
            </w:r>
            <w:r w:rsidR="004C3BDA">
              <w:rPr>
                <w:color w:val="333332"/>
                <w:lang w:val="en-US"/>
              </w:rPr>
              <w:t xml:space="preserve"> </w:t>
            </w:r>
            <w:r w:rsidR="004C3BDA" w:rsidRPr="00441A26">
              <w:rPr>
                <w:color w:val="333332"/>
                <w:lang w:val="en-US"/>
              </w:rPr>
              <w:t>permissible under the New Zealand Bill of Rights Act 1990</w:t>
            </w:r>
            <w:r w:rsidR="004C3BDA">
              <w:rPr>
                <w:color w:val="333332"/>
                <w:lang w:val="en-US"/>
              </w:rPr>
              <w:t xml:space="preserve"> </w:t>
            </w:r>
            <w:r w:rsidR="004C3BDA" w:rsidRPr="00441A26">
              <w:rPr>
                <w:color w:val="333332"/>
                <w:lang w:val="en-US"/>
              </w:rPr>
              <w:t>s 19 (2) and the Human Rights Act s73 (1) under certain</w:t>
            </w:r>
            <w:r w:rsidR="004C3BDA">
              <w:rPr>
                <w:color w:val="333332"/>
                <w:lang w:val="en-US"/>
              </w:rPr>
              <w:t xml:space="preserve"> </w:t>
            </w:r>
            <w:r w:rsidR="004C3BDA" w:rsidRPr="00441A26">
              <w:rPr>
                <w:color w:val="333332"/>
                <w:lang w:val="en-US"/>
              </w:rPr>
              <w:t xml:space="preserve">conditions and are intended to be temporary. </w:t>
            </w:r>
            <w:r w:rsidR="004C3BDA" w:rsidRPr="00441A26">
              <w:rPr>
                <w:color w:val="333332"/>
                <w:lang w:val="en-US"/>
              </w:rPr>
              <w:lastRenderedPageBreak/>
              <w:t>These are used to ensure equal outcomes rather than equal treatment</w:t>
            </w:r>
            <w:r w:rsidR="004C3BDA" w:rsidRPr="00441A26">
              <w:rPr>
                <w:rStyle w:val="FootnoteReference"/>
                <w:color w:val="333332"/>
                <w:lang w:val="en-US"/>
              </w:rPr>
              <w:footnoteReference w:id="1"/>
            </w:r>
            <w:r w:rsidR="004C3BDA" w:rsidRPr="00441A26">
              <w:rPr>
                <w:color w:val="333332"/>
                <w:lang w:val="en-US"/>
              </w:rPr>
              <w:t xml:space="preserve"> a</w:t>
            </w:r>
            <w:proofErr w:type="spellStart"/>
            <w:r w:rsidR="004C3BDA" w:rsidRPr="00441A26">
              <w:rPr>
                <w:color w:val="4D4D4D"/>
                <w:shd w:val="clear" w:color="auto" w:fill="FFFFFF"/>
              </w:rPr>
              <w:t>nd</w:t>
            </w:r>
            <w:proofErr w:type="spellEnd"/>
            <w:r w:rsidR="004C3BDA" w:rsidRPr="00441A26">
              <w:rPr>
                <w:color w:val="4D4D4D"/>
                <w:shd w:val="clear" w:color="auto" w:fill="FFFFFF"/>
              </w:rPr>
              <w:t xml:space="preserve"> are based on information that shows that the present position is unequal.</w:t>
            </w:r>
            <w:r w:rsidR="008573DD">
              <w:rPr>
                <w:color w:val="4D4D4D"/>
                <w:shd w:val="clear" w:color="auto" w:fill="FFFFFF"/>
              </w:rPr>
              <w:t xml:space="preserve"> It </w:t>
            </w:r>
            <w:r w:rsidR="008573DD">
              <w:t xml:space="preserve">is a strategy to reduce the impact of discrimination and enable </w:t>
            </w:r>
            <w:proofErr w:type="gramStart"/>
            <w:r w:rsidR="008573DD">
              <w:t>particular groups</w:t>
            </w:r>
            <w:proofErr w:type="gramEnd"/>
            <w:r w:rsidR="008573DD">
              <w:t xml:space="preserve"> to achieve equal outcomes with other groups.</w:t>
            </w:r>
          </w:p>
          <w:p w14:paraId="012FA845" w14:textId="77777777" w:rsidR="004C3BDA" w:rsidRPr="00441A26" w:rsidRDefault="004C3BDA" w:rsidP="00EE1665">
            <w:pPr>
              <w:autoSpaceDE w:val="0"/>
              <w:autoSpaceDN w:val="0"/>
              <w:adjustRightInd w:val="0"/>
              <w:rPr>
                <w:color w:val="333332"/>
                <w:lang w:val="en-US"/>
              </w:rPr>
            </w:pPr>
          </w:p>
          <w:p w14:paraId="1C571923" w14:textId="77777777" w:rsidR="004C3BDA" w:rsidRPr="00441A26" w:rsidRDefault="004C3BDA" w:rsidP="00EE1665">
            <w:pPr>
              <w:autoSpaceDE w:val="0"/>
              <w:autoSpaceDN w:val="0"/>
              <w:adjustRightInd w:val="0"/>
              <w:rPr>
                <w:b/>
                <w:bCs/>
                <w:color w:val="333332"/>
                <w:lang w:val="en-US"/>
              </w:rPr>
            </w:pPr>
            <w:r w:rsidRPr="00441A26">
              <w:rPr>
                <w:b/>
                <w:bCs/>
                <w:color w:val="333332"/>
                <w:lang w:val="en-US"/>
              </w:rPr>
              <w:t>Example:</w:t>
            </w:r>
          </w:p>
          <w:p w14:paraId="546C24CA" w14:textId="77777777" w:rsidR="004C3BDA" w:rsidRDefault="004C3BDA" w:rsidP="00EE1665">
            <w:pPr>
              <w:autoSpaceDE w:val="0"/>
              <w:autoSpaceDN w:val="0"/>
              <w:adjustRightInd w:val="0"/>
              <w:ind w:left="314"/>
              <w:rPr>
                <w:color w:val="0070C0"/>
              </w:rPr>
            </w:pPr>
            <w:r w:rsidRPr="00441A26">
              <w:rPr>
                <w:color w:val="0070C0"/>
                <w:lang w:val="en-US"/>
              </w:rPr>
              <w:t>If a faculty is significantly under-represented with M</w:t>
            </w:r>
            <w:proofErr w:type="spellStart"/>
            <w:r w:rsidRPr="00441A26">
              <w:rPr>
                <w:color w:val="0070C0"/>
              </w:rPr>
              <w:t>āori</w:t>
            </w:r>
            <w:proofErr w:type="spellEnd"/>
            <w:r w:rsidRPr="00441A26">
              <w:rPr>
                <w:color w:val="0070C0"/>
              </w:rPr>
              <w:t xml:space="preserve"> academic staff they may be able to advertise specifically for a Māori lecturer.</w:t>
            </w:r>
          </w:p>
          <w:p w14:paraId="6AC48F5B" w14:textId="1E11F9ED" w:rsidR="00280CD9" w:rsidRPr="00280CD9" w:rsidRDefault="00280CD9" w:rsidP="00280CD9">
            <w:pPr>
              <w:autoSpaceDE w:val="0"/>
              <w:autoSpaceDN w:val="0"/>
              <w:adjustRightInd w:val="0"/>
            </w:pPr>
          </w:p>
          <w:p w14:paraId="122D7670" w14:textId="77777777" w:rsidR="00280CD9" w:rsidRPr="00280CD9" w:rsidRDefault="009C3D5C" w:rsidP="008573DD">
            <w:pPr>
              <w:autoSpaceDE w:val="0"/>
              <w:autoSpaceDN w:val="0"/>
              <w:adjustRightInd w:val="0"/>
              <w:ind w:left="315"/>
              <w:rPr>
                <w:color w:val="auto"/>
              </w:rPr>
            </w:pPr>
            <w:r w:rsidRPr="00280CD9">
              <w:rPr>
                <w:color w:val="auto"/>
              </w:rPr>
              <w:t xml:space="preserve">The measure must be necessary to address disadvantage or ensure equality and be tailored to reduce the actual disadvantage of the group it is aimed at. If </w:t>
            </w:r>
            <w:r w:rsidR="008573DD" w:rsidRPr="00280CD9">
              <w:rPr>
                <w:color w:val="auto"/>
              </w:rPr>
              <w:t xml:space="preserve">the targeted recruitment </w:t>
            </w:r>
            <w:r w:rsidRPr="00280CD9">
              <w:rPr>
                <w:color w:val="auto"/>
              </w:rPr>
              <w:t>is designed to redress under</w:t>
            </w:r>
            <w:r w:rsidR="008573DD" w:rsidRPr="00280CD9">
              <w:rPr>
                <w:color w:val="auto"/>
              </w:rPr>
              <w:t>-</w:t>
            </w:r>
            <w:r w:rsidRPr="00280CD9">
              <w:rPr>
                <w:color w:val="auto"/>
              </w:rPr>
              <w:t>representation in a</w:t>
            </w:r>
            <w:r w:rsidR="008573DD" w:rsidRPr="00280CD9">
              <w:rPr>
                <w:color w:val="auto"/>
              </w:rPr>
              <w:t xml:space="preserve"> </w:t>
            </w:r>
            <w:r w:rsidRPr="00280CD9">
              <w:rPr>
                <w:color w:val="auto"/>
              </w:rPr>
              <w:t xml:space="preserve">particular area it is necessary to establish that the </w:t>
            </w:r>
            <w:r w:rsidR="008573DD" w:rsidRPr="00280CD9">
              <w:rPr>
                <w:color w:val="auto"/>
              </w:rPr>
              <w:t xml:space="preserve">under-representation is a result of the disadvantage faced by the group targeted and it is reasonable to expect the measure to ameliorate the disadvantage.  </w:t>
            </w:r>
          </w:p>
          <w:p w14:paraId="6EFAD401" w14:textId="0B6F9147" w:rsidR="004C3BDA" w:rsidRDefault="008573DD" w:rsidP="00280C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proofErr w:type="spellStart"/>
            <w:proofErr w:type="gramStart"/>
            <w:r w:rsidRPr="00280CD9">
              <w:rPr>
                <w:rFonts w:ascii="Segoe UI" w:hAnsi="Segoe UI" w:cs="Segoe UI"/>
              </w:rPr>
              <w:t>ie</w:t>
            </w:r>
            <w:proofErr w:type="spellEnd"/>
            <w:r w:rsidRPr="00280CD9">
              <w:rPr>
                <w:rFonts w:ascii="Segoe UI" w:hAnsi="Segoe UI" w:cs="Segoe UI"/>
              </w:rPr>
              <w:t>;</w:t>
            </w:r>
            <w:proofErr w:type="gramEnd"/>
            <w:r w:rsidRPr="00280CD9">
              <w:rPr>
                <w:rFonts w:ascii="Segoe UI" w:hAnsi="Segoe UI" w:cs="Segoe UI"/>
              </w:rPr>
              <w:t xml:space="preserve"> </w:t>
            </w:r>
            <w:r w:rsidR="00280CD9">
              <w:rPr>
                <w:rFonts w:ascii="Segoe UI" w:hAnsi="Segoe UI" w:cs="Segoe UI"/>
              </w:rPr>
              <w:t xml:space="preserve">Develop a </w:t>
            </w:r>
            <w:r w:rsidR="00B23572" w:rsidRPr="00280CD9">
              <w:rPr>
                <w:rFonts w:ascii="Segoe UI" w:hAnsi="Segoe UI" w:cs="Segoe UI"/>
              </w:rPr>
              <w:t>recruitment strategy which includes</w:t>
            </w:r>
            <w:r w:rsidRPr="00280CD9">
              <w:rPr>
                <w:rFonts w:ascii="Segoe UI" w:hAnsi="Segoe UI" w:cs="Segoe UI"/>
              </w:rPr>
              <w:t xml:space="preserve"> relevant data to back-up </w:t>
            </w:r>
            <w:r w:rsidR="00B23572" w:rsidRPr="00280CD9">
              <w:rPr>
                <w:rFonts w:ascii="Segoe UI" w:hAnsi="Segoe UI" w:cs="Segoe UI"/>
              </w:rPr>
              <w:t>the proposal for targeted recruitment</w:t>
            </w:r>
          </w:p>
          <w:p w14:paraId="5225005F" w14:textId="0F634BF3" w:rsidR="00280CD9" w:rsidRPr="00280CD9" w:rsidRDefault="00280CD9" w:rsidP="00280CD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Discuss with HR Advisory.</w:t>
            </w:r>
          </w:p>
          <w:p w14:paraId="0343F3A2" w14:textId="77777777" w:rsidR="008573DD" w:rsidRDefault="008573DD" w:rsidP="008573DD">
            <w:pPr>
              <w:autoSpaceDE w:val="0"/>
              <w:autoSpaceDN w:val="0"/>
              <w:adjustRightInd w:val="0"/>
              <w:ind w:left="315"/>
              <w:rPr>
                <w:b/>
                <w:bCs/>
                <w:color w:val="auto"/>
              </w:rPr>
            </w:pPr>
          </w:p>
          <w:p w14:paraId="63D23730" w14:textId="4402EC4A" w:rsidR="008573DD" w:rsidRDefault="00B23572" w:rsidP="008573DD">
            <w:pPr>
              <w:autoSpaceDE w:val="0"/>
              <w:autoSpaceDN w:val="0"/>
              <w:adjustRightInd w:val="0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Case Stud</w:t>
            </w:r>
            <w:r w:rsidR="00431E80">
              <w:rPr>
                <w:b/>
                <w:bCs/>
                <w:color w:val="auto"/>
              </w:rPr>
              <w:t>ies</w:t>
            </w:r>
            <w:r w:rsidR="008573DD">
              <w:rPr>
                <w:b/>
                <w:bCs/>
                <w:color w:val="auto"/>
              </w:rPr>
              <w:t>:</w:t>
            </w:r>
          </w:p>
          <w:p w14:paraId="221091BF" w14:textId="0EE8DFC4" w:rsidR="00431E80" w:rsidRPr="00431E80" w:rsidRDefault="00431E80" w:rsidP="00431E80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UoA</w:t>
            </w:r>
            <w:proofErr w:type="spellEnd"/>
            <w:r>
              <w:t xml:space="preserve"> Faculty of Law targetted M</w:t>
            </w:r>
            <w:r w:rsidRPr="00431E80">
              <w:rPr>
                <w:lang w:val="mi-NZ"/>
              </w:rPr>
              <w:t>ā</w:t>
            </w:r>
            <w:proofErr w:type="spellStart"/>
            <w:r>
              <w:t>ori</w:t>
            </w:r>
            <w:proofErr w:type="spellEnd"/>
            <w:r>
              <w:t xml:space="preserve"> and Pacific lecturers 2019-2020</w:t>
            </w:r>
          </w:p>
          <w:p w14:paraId="2D4DACCB" w14:textId="3F2FA66E" w:rsidR="008573DD" w:rsidRPr="00431E80" w:rsidRDefault="0094781B" w:rsidP="00431E80">
            <w:pPr>
              <w:pStyle w:val="ListParagraph"/>
              <w:numPr>
                <w:ilvl w:val="0"/>
                <w:numId w:val="3"/>
              </w:numPr>
            </w:pPr>
            <w:hyperlink r:id="rId13" w:history="1">
              <w:r w:rsidR="008573DD">
                <w:rPr>
                  <w:rStyle w:val="Hyperlink"/>
                </w:rPr>
                <w:t>AUT Maori and Pacific Early Career Academic cluster hires</w:t>
              </w:r>
            </w:hyperlink>
          </w:p>
          <w:p w14:paraId="307506FA" w14:textId="77777777" w:rsidR="008573DD" w:rsidRPr="008573DD" w:rsidRDefault="008573DD" w:rsidP="008573DD">
            <w:pPr>
              <w:autoSpaceDE w:val="0"/>
              <w:autoSpaceDN w:val="0"/>
              <w:adjustRightInd w:val="0"/>
              <w:ind w:left="315"/>
              <w:rPr>
                <w:b/>
                <w:bCs/>
                <w:color w:val="auto"/>
              </w:rPr>
            </w:pPr>
          </w:p>
          <w:p w14:paraId="514455CD" w14:textId="09647C22" w:rsidR="008573DD" w:rsidRPr="00441A26" w:rsidRDefault="008573DD" w:rsidP="004C3BDA">
            <w:pPr>
              <w:autoSpaceDE w:val="0"/>
              <w:autoSpaceDN w:val="0"/>
              <w:adjustRightInd w:val="0"/>
            </w:pPr>
          </w:p>
        </w:tc>
      </w:tr>
    </w:tbl>
    <w:p w14:paraId="42D2029A" w14:textId="77777777" w:rsidR="004C3BDA" w:rsidRDefault="004C3BDA"/>
    <w:sectPr w:rsidR="004C3B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0EDDA" w14:textId="77777777" w:rsidR="004C3BDA" w:rsidRDefault="004C3BDA" w:rsidP="004C3BDA">
      <w:pPr>
        <w:spacing w:after="0" w:line="240" w:lineRule="auto"/>
      </w:pPr>
      <w:r>
        <w:separator/>
      </w:r>
    </w:p>
  </w:endnote>
  <w:endnote w:type="continuationSeparator" w:id="0">
    <w:p w14:paraId="5E302374" w14:textId="77777777" w:rsidR="004C3BDA" w:rsidRDefault="004C3BDA" w:rsidP="004C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90360" w14:textId="77777777" w:rsidR="008B330F" w:rsidRDefault="008B3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FBB2F" w14:textId="34A0DFB5" w:rsidR="008B330F" w:rsidRDefault="00AB247A">
    <w:pPr>
      <w:pStyle w:val="Footer"/>
    </w:pPr>
    <w:r>
      <w:t xml:space="preserve">University of Auckland </w:t>
    </w:r>
    <w:r w:rsidR="008B330F">
      <w:t>Equity Office 2021</w:t>
    </w:r>
  </w:p>
  <w:p w14:paraId="0BEA8CB5" w14:textId="77777777" w:rsidR="008B330F" w:rsidRDefault="008B33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2C22C" w14:textId="77777777" w:rsidR="008B330F" w:rsidRDefault="008B3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1B75A" w14:textId="77777777" w:rsidR="004C3BDA" w:rsidRDefault="004C3BDA" w:rsidP="004C3BDA">
      <w:pPr>
        <w:spacing w:after="0" w:line="240" w:lineRule="auto"/>
      </w:pPr>
      <w:r>
        <w:separator/>
      </w:r>
    </w:p>
  </w:footnote>
  <w:footnote w:type="continuationSeparator" w:id="0">
    <w:p w14:paraId="5787187B" w14:textId="77777777" w:rsidR="004C3BDA" w:rsidRDefault="004C3BDA" w:rsidP="004C3BDA">
      <w:pPr>
        <w:spacing w:after="0" w:line="240" w:lineRule="auto"/>
      </w:pPr>
      <w:r>
        <w:continuationSeparator/>
      </w:r>
    </w:p>
  </w:footnote>
  <w:footnote w:id="1">
    <w:p w14:paraId="4E5292DD" w14:textId="77777777" w:rsidR="004C3BDA" w:rsidRPr="0040331A" w:rsidRDefault="004C3BDA" w:rsidP="004C3BDA">
      <w:pPr>
        <w:pStyle w:val="FootnoteText"/>
        <w:rPr>
          <w:sz w:val="16"/>
          <w:szCs w:val="16"/>
        </w:rPr>
      </w:pPr>
      <w:r w:rsidRPr="0040331A">
        <w:rPr>
          <w:rStyle w:val="FootnoteReference"/>
          <w:sz w:val="16"/>
          <w:szCs w:val="16"/>
        </w:rPr>
        <w:footnoteRef/>
      </w:r>
      <w:r w:rsidRPr="0040331A">
        <w:rPr>
          <w:sz w:val="16"/>
          <w:szCs w:val="16"/>
        </w:rPr>
        <w:t xml:space="preserve"> Implementing the Gender Pay Principles. Ministry for Women August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A370E" w14:textId="77777777" w:rsidR="008B330F" w:rsidRDefault="008B3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69012" w14:textId="16987F74" w:rsidR="008B330F" w:rsidRDefault="0094781B">
    <w:pPr>
      <w:pStyle w:val="Header"/>
    </w:pPr>
    <w:sdt>
      <w:sdtPr>
        <w:id w:val="69797448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1A808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B330F">
      <w:tab/>
    </w:r>
    <w:r w:rsidR="008B330F">
      <w:tab/>
    </w:r>
    <w:r w:rsidR="008B330F">
      <w:rPr>
        <w:noProof/>
      </w:rPr>
      <w:drawing>
        <wp:inline distT="0" distB="0" distL="0" distR="0" wp14:anchorId="16B5BCDA" wp14:editId="71B77784">
          <wp:extent cx="1409957" cy="510746"/>
          <wp:effectExtent l="0" t="0" r="0" b="3810"/>
          <wp:docPr id="2" name="Picture 2" descr="University of Aucklan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niversity of Auck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077" cy="5162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2A4C5" w14:textId="77777777" w:rsidR="008B330F" w:rsidRDefault="008B3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C3AD7"/>
    <w:multiLevelType w:val="hybridMultilevel"/>
    <w:tmpl w:val="FB20A766"/>
    <w:lvl w:ilvl="0" w:tplc="1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264A30C5"/>
    <w:multiLevelType w:val="hybridMultilevel"/>
    <w:tmpl w:val="69124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D2717D"/>
    <w:multiLevelType w:val="hybridMultilevel"/>
    <w:tmpl w:val="EA486E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C1"/>
    <w:rsid w:val="00005F12"/>
    <w:rsid w:val="000104F1"/>
    <w:rsid w:val="00012A35"/>
    <w:rsid w:val="000136D5"/>
    <w:rsid w:val="00017785"/>
    <w:rsid w:val="0003428A"/>
    <w:rsid w:val="000432FC"/>
    <w:rsid w:val="000534D5"/>
    <w:rsid w:val="0005498E"/>
    <w:rsid w:val="00063B17"/>
    <w:rsid w:val="00082EE3"/>
    <w:rsid w:val="00092D0F"/>
    <w:rsid w:val="000B071C"/>
    <w:rsid w:val="000B2509"/>
    <w:rsid w:val="000B3248"/>
    <w:rsid w:val="000C007F"/>
    <w:rsid w:val="000C4DCA"/>
    <w:rsid w:val="000C6A3A"/>
    <w:rsid w:val="000D6462"/>
    <w:rsid w:val="000E0347"/>
    <w:rsid w:val="000E3D5F"/>
    <w:rsid w:val="000E4FDB"/>
    <w:rsid w:val="000F7902"/>
    <w:rsid w:val="00102F38"/>
    <w:rsid w:val="001060BD"/>
    <w:rsid w:val="00121A2E"/>
    <w:rsid w:val="00123C88"/>
    <w:rsid w:val="00125C79"/>
    <w:rsid w:val="00126DBB"/>
    <w:rsid w:val="001411FD"/>
    <w:rsid w:val="00141B1C"/>
    <w:rsid w:val="00142A01"/>
    <w:rsid w:val="00151E7F"/>
    <w:rsid w:val="00154B49"/>
    <w:rsid w:val="001658CD"/>
    <w:rsid w:val="0017085B"/>
    <w:rsid w:val="001709FA"/>
    <w:rsid w:val="00172323"/>
    <w:rsid w:val="001814E9"/>
    <w:rsid w:val="00182BB4"/>
    <w:rsid w:val="001834BF"/>
    <w:rsid w:val="001850AC"/>
    <w:rsid w:val="00186152"/>
    <w:rsid w:val="001866B9"/>
    <w:rsid w:val="001866D2"/>
    <w:rsid w:val="001904C2"/>
    <w:rsid w:val="001A1797"/>
    <w:rsid w:val="001B2313"/>
    <w:rsid w:val="001B6AE1"/>
    <w:rsid w:val="001E2229"/>
    <w:rsid w:val="001E404C"/>
    <w:rsid w:val="001F0E2A"/>
    <w:rsid w:val="001F25BC"/>
    <w:rsid w:val="001F2AC3"/>
    <w:rsid w:val="001F59B4"/>
    <w:rsid w:val="001F7CA1"/>
    <w:rsid w:val="00203687"/>
    <w:rsid w:val="00207107"/>
    <w:rsid w:val="00207CF0"/>
    <w:rsid w:val="002136E0"/>
    <w:rsid w:val="00220C2C"/>
    <w:rsid w:val="00221235"/>
    <w:rsid w:val="00223289"/>
    <w:rsid w:val="002235FE"/>
    <w:rsid w:val="00224E64"/>
    <w:rsid w:val="002250C8"/>
    <w:rsid w:val="00227C37"/>
    <w:rsid w:val="002344C2"/>
    <w:rsid w:val="00245D57"/>
    <w:rsid w:val="0024796F"/>
    <w:rsid w:val="00257BDF"/>
    <w:rsid w:val="002608EE"/>
    <w:rsid w:val="00277D15"/>
    <w:rsid w:val="00280CD9"/>
    <w:rsid w:val="00281B9D"/>
    <w:rsid w:val="0029318F"/>
    <w:rsid w:val="00294736"/>
    <w:rsid w:val="002A528E"/>
    <w:rsid w:val="002B29D5"/>
    <w:rsid w:val="002B5FB9"/>
    <w:rsid w:val="002C74B9"/>
    <w:rsid w:val="002D3229"/>
    <w:rsid w:val="002D3CB0"/>
    <w:rsid w:val="002D4873"/>
    <w:rsid w:val="002D6DB2"/>
    <w:rsid w:val="002E63ED"/>
    <w:rsid w:val="002E68CB"/>
    <w:rsid w:val="002F5606"/>
    <w:rsid w:val="00301FC2"/>
    <w:rsid w:val="00303335"/>
    <w:rsid w:val="00307315"/>
    <w:rsid w:val="00314A6D"/>
    <w:rsid w:val="0032195F"/>
    <w:rsid w:val="00336725"/>
    <w:rsid w:val="003429CA"/>
    <w:rsid w:val="003430AB"/>
    <w:rsid w:val="003447BB"/>
    <w:rsid w:val="003511CD"/>
    <w:rsid w:val="00351598"/>
    <w:rsid w:val="00355614"/>
    <w:rsid w:val="00361D19"/>
    <w:rsid w:val="00362A82"/>
    <w:rsid w:val="00372B29"/>
    <w:rsid w:val="00384F58"/>
    <w:rsid w:val="003866E5"/>
    <w:rsid w:val="003911A5"/>
    <w:rsid w:val="0039493F"/>
    <w:rsid w:val="00395624"/>
    <w:rsid w:val="003A0777"/>
    <w:rsid w:val="003A3C98"/>
    <w:rsid w:val="003B186E"/>
    <w:rsid w:val="003B2B0E"/>
    <w:rsid w:val="003B6C2F"/>
    <w:rsid w:val="003C08E0"/>
    <w:rsid w:val="003C1E66"/>
    <w:rsid w:val="003C2BC9"/>
    <w:rsid w:val="003C66B4"/>
    <w:rsid w:val="003D06EC"/>
    <w:rsid w:val="003D46B2"/>
    <w:rsid w:val="003D77D4"/>
    <w:rsid w:val="003E12F5"/>
    <w:rsid w:val="003E46BC"/>
    <w:rsid w:val="003E47E6"/>
    <w:rsid w:val="003E5036"/>
    <w:rsid w:val="003E7FE0"/>
    <w:rsid w:val="003F4A25"/>
    <w:rsid w:val="00403504"/>
    <w:rsid w:val="004038AA"/>
    <w:rsid w:val="004051DD"/>
    <w:rsid w:val="00414B51"/>
    <w:rsid w:val="00425C9C"/>
    <w:rsid w:val="00431E80"/>
    <w:rsid w:val="00436461"/>
    <w:rsid w:val="00442037"/>
    <w:rsid w:val="0044226D"/>
    <w:rsid w:val="00451CED"/>
    <w:rsid w:val="00467D15"/>
    <w:rsid w:val="00475C10"/>
    <w:rsid w:val="00476E57"/>
    <w:rsid w:val="00480C41"/>
    <w:rsid w:val="00481619"/>
    <w:rsid w:val="00487232"/>
    <w:rsid w:val="004872B0"/>
    <w:rsid w:val="004933DA"/>
    <w:rsid w:val="00496DB8"/>
    <w:rsid w:val="004A2AD3"/>
    <w:rsid w:val="004B2015"/>
    <w:rsid w:val="004C3BDA"/>
    <w:rsid w:val="004C54E2"/>
    <w:rsid w:val="004C7C26"/>
    <w:rsid w:val="004D031D"/>
    <w:rsid w:val="004D06D8"/>
    <w:rsid w:val="004D2FDD"/>
    <w:rsid w:val="004D3F36"/>
    <w:rsid w:val="004D5222"/>
    <w:rsid w:val="004D788B"/>
    <w:rsid w:val="004E1774"/>
    <w:rsid w:val="004F24D5"/>
    <w:rsid w:val="004F39AD"/>
    <w:rsid w:val="004F44F5"/>
    <w:rsid w:val="0050155A"/>
    <w:rsid w:val="00507025"/>
    <w:rsid w:val="005239E3"/>
    <w:rsid w:val="0052451E"/>
    <w:rsid w:val="00527621"/>
    <w:rsid w:val="0053230E"/>
    <w:rsid w:val="00532C77"/>
    <w:rsid w:val="00537A6A"/>
    <w:rsid w:val="00541CBA"/>
    <w:rsid w:val="00541E13"/>
    <w:rsid w:val="00544694"/>
    <w:rsid w:val="00551112"/>
    <w:rsid w:val="00560ABD"/>
    <w:rsid w:val="00564D82"/>
    <w:rsid w:val="00566595"/>
    <w:rsid w:val="00570584"/>
    <w:rsid w:val="0057619F"/>
    <w:rsid w:val="00584D48"/>
    <w:rsid w:val="005A72ED"/>
    <w:rsid w:val="005B3AF5"/>
    <w:rsid w:val="005C45C8"/>
    <w:rsid w:val="005C50CF"/>
    <w:rsid w:val="005E00F9"/>
    <w:rsid w:val="005E77CA"/>
    <w:rsid w:val="005F6F5F"/>
    <w:rsid w:val="00625A5B"/>
    <w:rsid w:val="00626CC3"/>
    <w:rsid w:val="00637521"/>
    <w:rsid w:val="00640148"/>
    <w:rsid w:val="00647EEE"/>
    <w:rsid w:val="00660871"/>
    <w:rsid w:val="00665848"/>
    <w:rsid w:val="00666629"/>
    <w:rsid w:val="00675CDE"/>
    <w:rsid w:val="00685C01"/>
    <w:rsid w:val="00687FA2"/>
    <w:rsid w:val="00697D36"/>
    <w:rsid w:val="006C4451"/>
    <w:rsid w:val="006C4692"/>
    <w:rsid w:val="006D487B"/>
    <w:rsid w:val="006E5B6A"/>
    <w:rsid w:val="006F1B37"/>
    <w:rsid w:val="006F6DDC"/>
    <w:rsid w:val="00704A72"/>
    <w:rsid w:val="00707C57"/>
    <w:rsid w:val="00714FE0"/>
    <w:rsid w:val="00722CBD"/>
    <w:rsid w:val="00722EC8"/>
    <w:rsid w:val="00724D70"/>
    <w:rsid w:val="00731ECB"/>
    <w:rsid w:val="00753D94"/>
    <w:rsid w:val="00784BCC"/>
    <w:rsid w:val="0078577B"/>
    <w:rsid w:val="007858A1"/>
    <w:rsid w:val="00786C59"/>
    <w:rsid w:val="00787F13"/>
    <w:rsid w:val="007933CE"/>
    <w:rsid w:val="007955C7"/>
    <w:rsid w:val="007C68F4"/>
    <w:rsid w:val="007D20C4"/>
    <w:rsid w:val="007D5D14"/>
    <w:rsid w:val="007E010D"/>
    <w:rsid w:val="007F49F5"/>
    <w:rsid w:val="00812C1F"/>
    <w:rsid w:val="008223BF"/>
    <w:rsid w:val="00834006"/>
    <w:rsid w:val="008424ED"/>
    <w:rsid w:val="008573DD"/>
    <w:rsid w:val="00870B50"/>
    <w:rsid w:val="00874408"/>
    <w:rsid w:val="00874F97"/>
    <w:rsid w:val="00877FD9"/>
    <w:rsid w:val="008810B0"/>
    <w:rsid w:val="00882FAE"/>
    <w:rsid w:val="008866FB"/>
    <w:rsid w:val="00887D23"/>
    <w:rsid w:val="008915A2"/>
    <w:rsid w:val="008A2F6D"/>
    <w:rsid w:val="008B330F"/>
    <w:rsid w:val="008D2337"/>
    <w:rsid w:val="008D6FC7"/>
    <w:rsid w:val="008D7A2D"/>
    <w:rsid w:val="008E140D"/>
    <w:rsid w:val="008E3282"/>
    <w:rsid w:val="008F1DF8"/>
    <w:rsid w:val="008F5E40"/>
    <w:rsid w:val="008F632D"/>
    <w:rsid w:val="008F64F1"/>
    <w:rsid w:val="00904524"/>
    <w:rsid w:val="00917BEE"/>
    <w:rsid w:val="00930B59"/>
    <w:rsid w:val="00935B26"/>
    <w:rsid w:val="00937654"/>
    <w:rsid w:val="00942CF1"/>
    <w:rsid w:val="0094503D"/>
    <w:rsid w:val="0094682F"/>
    <w:rsid w:val="0094781B"/>
    <w:rsid w:val="0095654D"/>
    <w:rsid w:val="00956837"/>
    <w:rsid w:val="0097608E"/>
    <w:rsid w:val="00986EC9"/>
    <w:rsid w:val="009A02D4"/>
    <w:rsid w:val="009A0A32"/>
    <w:rsid w:val="009A2557"/>
    <w:rsid w:val="009A6FEC"/>
    <w:rsid w:val="009C3D5C"/>
    <w:rsid w:val="009C60A8"/>
    <w:rsid w:val="009C6981"/>
    <w:rsid w:val="009D2104"/>
    <w:rsid w:val="009D38DB"/>
    <w:rsid w:val="009D5466"/>
    <w:rsid w:val="009D6CE1"/>
    <w:rsid w:val="009E2B0D"/>
    <w:rsid w:val="009E318E"/>
    <w:rsid w:val="009E45E3"/>
    <w:rsid w:val="00A0045E"/>
    <w:rsid w:val="00A04529"/>
    <w:rsid w:val="00A12F11"/>
    <w:rsid w:val="00A16BF3"/>
    <w:rsid w:val="00A2734D"/>
    <w:rsid w:val="00A30469"/>
    <w:rsid w:val="00A50AD3"/>
    <w:rsid w:val="00A57850"/>
    <w:rsid w:val="00A66377"/>
    <w:rsid w:val="00A732ED"/>
    <w:rsid w:val="00A74159"/>
    <w:rsid w:val="00A74C00"/>
    <w:rsid w:val="00A75362"/>
    <w:rsid w:val="00A84A11"/>
    <w:rsid w:val="00A91887"/>
    <w:rsid w:val="00AA35D1"/>
    <w:rsid w:val="00AB247A"/>
    <w:rsid w:val="00AB3CFC"/>
    <w:rsid w:val="00AB7424"/>
    <w:rsid w:val="00AC27DA"/>
    <w:rsid w:val="00AD0AA5"/>
    <w:rsid w:val="00AD79A7"/>
    <w:rsid w:val="00AE77EA"/>
    <w:rsid w:val="00AF1721"/>
    <w:rsid w:val="00AF176D"/>
    <w:rsid w:val="00AF39CE"/>
    <w:rsid w:val="00B0024F"/>
    <w:rsid w:val="00B013DD"/>
    <w:rsid w:val="00B20867"/>
    <w:rsid w:val="00B20FBB"/>
    <w:rsid w:val="00B23572"/>
    <w:rsid w:val="00B25808"/>
    <w:rsid w:val="00B25A50"/>
    <w:rsid w:val="00B374B6"/>
    <w:rsid w:val="00B57E3D"/>
    <w:rsid w:val="00B6057C"/>
    <w:rsid w:val="00B674A2"/>
    <w:rsid w:val="00B973EA"/>
    <w:rsid w:val="00BA2820"/>
    <w:rsid w:val="00BA3B06"/>
    <w:rsid w:val="00BA67F1"/>
    <w:rsid w:val="00BC130E"/>
    <w:rsid w:val="00BC6F7B"/>
    <w:rsid w:val="00BD39BF"/>
    <w:rsid w:val="00BD7806"/>
    <w:rsid w:val="00BE0CDB"/>
    <w:rsid w:val="00BE2260"/>
    <w:rsid w:val="00BE2E8B"/>
    <w:rsid w:val="00BF003E"/>
    <w:rsid w:val="00C060C1"/>
    <w:rsid w:val="00C100F3"/>
    <w:rsid w:val="00C12E40"/>
    <w:rsid w:val="00C30148"/>
    <w:rsid w:val="00C35844"/>
    <w:rsid w:val="00C513CA"/>
    <w:rsid w:val="00C665EC"/>
    <w:rsid w:val="00C90362"/>
    <w:rsid w:val="00C97C20"/>
    <w:rsid w:val="00CA2ECB"/>
    <w:rsid w:val="00CA3A8C"/>
    <w:rsid w:val="00CB0322"/>
    <w:rsid w:val="00CC091E"/>
    <w:rsid w:val="00CC72AA"/>
    <w:rsid w:val="00CD0E38"/>
    <w:rsid w:val="00CD2ABA"/>
    <w:rsid w:val="00CE178D"/>
    <w:rsid w:val="00CE4578"/>
    <w:rsid w:val="00CF24D0"/>
    <w:rsid w:val="00D00723"/>
    <w:rsid w:val="00D03F66"/>
    <w:rsid w:val="00D04450"/>
    <w:rsid w:val="00D04827"/>
    <w:rsid w:val="00D15AB6"/>
    <w:rsid w:val="00D20038"/>
    <w:rsid w:val="00D2637B"/>
    <w:rsid w:val="00D60FC9"/>
    <w:rsid w:val="00D6293C"/>
    <w:rsid w:val="00D651EF"/>
    <w:rsid w:val="00D70232"/>
    <w:rsid w:val="00D719E6"/>
    <w:rsid w:val="00D75698"/>
    <w:rsid w:val="00D8367A"/>
    <w:rsid w:val="00D926C4"/>
    <w:rsid w:val="00D94AD1"/>
    <w:rsid w:val="00DA05EA"/>
    <w:rsid w:val="00DA277A"/>
    <w:rsid w:val="00DB2C55"/>
    <w:rsid w:val="00DB35FD"/>
    <w:rsid w:val="00DB3DB1"/>
    <w:rsid w:val="00DC45CD"/>
    <w:rsid w:val="00DD15FE"/>
    <w:rsid w:val="00DD1DD8"/>
    <w:rsid w:val="00DD518B"/>
    <w:rsid w:val="00DD7E16"/>
    <w:rsid w:val="00DE114B"/>
    <w:rsid w:val="00DE1A89"/>
    <w:rsid w:val="00DE2427"/>
    <w:rsid w:val="00E1477D"/>
    <w:rsid w:val="00E26009"/>
    <w:rsid w:val="00E34DCF"/>
    <w:rsid w:val="00E431D4"/>
    <w:rsid w:val="00E52466"/>
    <w:rsid w:val="00E71C91"/>
    <w:rsid w:val="00E76426"/>
    <w:rsid w:val="00E85EA0"/>
    <w:rsid w:val="00EA0DB2"/>
    <w:rsid w:val="00EA4319"/>
    <w:rsid w:val="00EA5FCA"/>
    <w:rsid w:val="00EB1745"/>
    <w:rsid w:val="00EB2180"/>
    <w:rsid w:val="00EB2933"/>
    <w:rsid w:val="00EB4FA2"/>
    <w:rsid w:val="00EC30CE"/>
    <w:rsid w:val="00EC6CAE"/>
    <w:rsid w:val="00ED2861"/>
    <w:rsid w:val="00ED7E78"/>
    <w:rsid w:val="00EE1AF6"/>
    <w:rsid w:val="00EE3AEA"/>
    <w:rsid w:val="00EF0BAC"/>
    <w:rsid w:val="00EF23F7"/>
    <w:rsid w:val="00EF36BC"/>
    <w:rsid w:val="00EF56AE"/>
    <w:rsid w:val="00EF6F53"/>
    <w:rsid w:val="00F13F8A"/>
    <w:rsid w:val="00F1683B"/>
    <w:rsid w:val="00F17913"/>
    <w:rsid w:val="00F20002"/>
    <w:rsid w:val="00F21C77"/>
    <w:rsid w:val="00F232E1"/>
    <w:rsid w:val="00F26CAB"/>
    <w:rsid w:val="00F2722E"/>
    <w:rsid w:val="00F272A0"/>
    <w:rsid w:val="00F41532"/>
    <w:rsid w:val="00F551CF"/>
    <w:rsid w:val="00F61148"/>
    <w:rsid w:val="00F70A62"/>
    <w:rsid w:val="00F731FE"/>
    <w:rsid w:val="00F73DD0"/>
    <w:rsid w:val="00F843C6"/>
    <w:rsid w:val="00F850D2"/>
    <w:rsid w:val="00F918DC"/>
    <w:rsid w:val="00FC573E"/>
    <w:rsid w:val="00FC61A7"/>
    <w:rsid w:val="00FD01EE"/>
    <w:rsid w:val="00FD2EA7"/>
    <w:rsid w:val="00FE19D9"/>
    <w:rsid w:val="00FE7C8E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FFAE5E7"/>
  <w15:chartTrackingRefBased/>
  <w15:docId w15:val="{7D65CCD9-ECBD-47F0-B487-B6E7D8BF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color w:val="4A4C4C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0C1"/>
  </w:style>
  <w:style w:type="paragraph" w:styleId="Heading1">
    <w:name w:val="heading 1"/>
    <w:basedOn w:val="Normal"/>
    <w:next w:val="Normal"/>
    <w:link w:val="Heading1Char"/>
    <w:uiPriority w:val="9"/>
    <w:qFormat/>
    <w:rsid w:val="00ED2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60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6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060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D2861"/>
    <w:pPr>
      <w:ind w:left="720"/>
      <w:contextualSpacing/>
    </w:pPr>
    <w:rPr>
      <w:rFonts w:ascii="Verdana" w:hAnsi="Verdana"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D2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F63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BE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BD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B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3BD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573D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3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30F"/>
  </w:style>
  <w:style w:type="paragraph" w:styleId="Footer">
    <w:name w:val="footer"/>
    <w:basedOn w:val="Normal"/>
    <w:link w:val="FooterChar"/>
    <w:uiPriority w:val="99"/>
    <w:unhideWhenUsed/>
    <w:rsid w:val="008B3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ployment.govt.nz/hours-and-wages/pay/pay-equity/gender-job-evaluation-standard/" TargetMode="External"/><Relationship Id="rId13" Type="http://schemas.openxmlformats.org/officeDocument/2006/relationships/hyperlink" Target="https://careers.aut.ac.nz/jobdetails?ajid=7MKhb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uckland.ac.nz/en/about-us/about-the-university/the-university/official-publications/strategic-plan.html" TargetMode="External"/><Relationship Id="rId12" Type="http://schemas.openxmlformats.org/officeDocument/2006/relationships/hyperlink" Target="https://www.hrc.co.nz/enquiries-and-complaints/faqs/positive-actions-achieve-equality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a.sharepoint.com/sites/Waysofworking/SitePages/About-flexible-working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auckland.ac.nz/en/about/the-university/how-university-works/policy-and-administration/human-resources1/employer-and-employee-responsibilities/flexible-work-policy-and-procedures-.htm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employment.govt.nz/hours-and-wages/pay/pay-equity/spotlight-skills-recognition-tool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spec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Walsh</dc:creator>
  <cp:keywords/>
  <dc:description/>
  <cp:lastModifiedBy>Cathie Walsh</cp:lastModifiedBy>
  <cp:revision>20</cp:revision>
  <dcterms:created xsi:type="dcterms:W3CDTF">2020-07-20T01:39:00Z</dcterms:created>
  <dcterms:modified xsi:type="dcterms:W3CDTF">2021-11-08T01:24:00Z</dcterms:modified>
</cp:coreProperties>
</file>