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8CC94B" w14:textId="6503F3AB" w:rsidR="00277D15" w:rsidRDefault="005B1F08" w:rsidP="00643C06">
      <w:pPr>
        <w:pStyle w:val="Heading1"/>
      </w:pPr>
      <w:r>
        <w:t xml:space="preserve">Step 3: Selection </w:t>
      </w:r>
      <w:r w:rsidR="0070304F">
        <w:t>C</w:t>
      </w:r>
      <w:r>
        <w:t xml:space="preserve">ommittee </w:t>
      </w:r>
    </w:p>
    <w:p w14:paraId="3636F910" w14:textId="75FDAD75" w:rsidR="005B1F08" w:rsidRDefault="005B1F08" w:rsidP="005B1F08"/>
    <w:tbl>
      <w:tblPr>
        <w:tblStyle w:val="TableGrid"/>
        <w:tblW w:w="0" w:type="auto"/>
        <w:tblLook w:val="04A0" w:firstRow="1" w:lastRow="0" w:firstColumn="1" w:lastColumn="0" w:noHBand="0" w:noVBand="1"/>
      </w:tblPr>
      <w:tblGrid>
        <w:gridCol w:w="2972"/>
        <w:gridCol w:w="6044"/>
      </w:tblGrid>
      <w:tr w:rsidR="005B1F08" w:rsidRPr="004A1550" w14:paraId="3020D3E9" w14:textId="77777777" w:rsidTr="006B2564">
        <w:tc>
          <w:tcPr>
            <w:tcW w:w="2972" w:type="dxa"/>
            <w:shd w:val="clear" w:color="auto" w:fill="D9D9D9" w:themeFill="background1" w:themeFillShade="D9"/>
          </w:tcPr>
          <w:p w14:paraId="0717B6BB" w14:textId="77777777" w:rsidR="005B1F08" w:rsidRPr="004A1550" w:rsidRDefault="005B1F08" w:rsidP="006B2564">
            <w:pPr>
              <w:rPr>
                <w:b/>
                <w:bCs/>
              </w:rPr>
            </w:pPr>
            <w:r w:rsidRPr="004A1550">
              <w:rPr>
                <w:b/>
                <w:bCs/>
              </w:rPr>
              <w:t>Recommendation</w:t>
            </w:r>
          </w:p>
        </w:tc>
        <w:tc>
          <w:tcPr>
            <w:tcW w:w="6044" w:type="dxa"/>
            <w:shd w:val="clear" w:color="auto" w:fill="D9D9D9" w:themeFill="background1" w:themeFillShade="D9"/>
          </w:tcPr>
          <w:p w14:paraId="33C9D443" w14:textId="5A31C58D" w:rsidR="005B1F08" w:rsidRPr="004A1550" w:rsidRDefault="00643C06" w:rsidP="006B2564">
            <w:pPr>
              <w:rPr>
                <w:b/>
                <w:bCs/>
              </w:rPr>
            </w:pPr>
            <w:r>
              <w:rPr>
                <w:b/>
                <w:bCs/>
              </w:rPr>
              <w:t xml:space="preserve">Considerations and </w:t>
            </w:r>
            <w:r w:rsidR="005B1F08" w:rsidRPr="004A1550">
              <w:rPr>
                <w:b/>
                <w:bCs/>
              </w:rPr>
              <w:t>Actions</w:t>
            </w:r>
          </w:p>
          <w:p w14:paraId="60E0EE3F" w14:textId="77777777" w:rsidR="005B1F08" w:rsidRPr="004A1550" w:rsidRDefault="005B1F08" w:rsidP="006B2564">
            <w:pPr>
              <w:rPr>
                <w:b/>
                <w:bCs/>
              </w:rPr>
            </w:pPr>
          </w:p>
        </w:tc>
      </w:tr>
      <w:tr w:rsidR="005B1F08" w14:paraId="65A69083" w14:textId="77777777" w:rsidTr="005B1F08">
        <w:tc>
          <w:tcPr>
            <w:tcW w:w="2972" w:type="dxa"/>
          </w:tcPr>
          <w:p w14:paraId="363EDD2B" w14:textId="73628AF0" w:rsidR="005B1F08" w:rsidRPr="00291E5E" w:rsidRDefault="00006B84" w:rsidP="005B1F08">
            <w:pPr>
              <w:rPr>
                <w:color w:val="auto"/>
              </w:rPr>
            </w:pPr>
            <w:r>
              <w:rPr>
                <w:color w:val="auto"/>
              </w:rPr>
              <w:t xml:space="preserve">The </w:t>
            </w:r>
            <w:r w:rsidR="006F7FC5" w:rsidRPr="00291E5E">
              <w:rPr>
                <w:color w:val="auto"/>
              </w:rPr>
              <w:t xml:space="preserve">Selection Committee is representative and diverse </w:t>
            </w:r>
            <w:r w:rsidR="006510AC">
              <w:rPr>
                <w:color w:val="auto"/>
              </w:rPr>
              <w:t xml:space="preserve">and can reflect the unique differences of diverse applicants </w:t>
            </w:r>
          </w:p>
          <w:p w14:paraId="499D0695" w14:textId="5DBCFCE6" w:rsidR="006F7FC5" w:rsidRPr="00291E5E" w:rsidRDefault="006F7FC5" w:rsidP="005B1F08">
            <w:pPr>
              <w:rPr>
                <w:color w:val="auto"/>
              </w:rPr>
            </w:pPr>
          </w:p>
        </w:tc>
        <w:tc>
          <w:tcPr>
            <w:tcW w:w="6044" w:type="dxa"/>
          </w:tcPr>
          <w:p w14:paraId="0B63944E" w14:textId="4C1E3A25" w:rsidR="005B1F08" w:rsidRPr="000C15F5" w:rsidRDefault="006F7FC5" w:rsidP="00291E5E">
            <w:pPr>
              <w:pStyle w:val="ListParagraph"/>
              <w:numPr>
                <w:ilvl w:val="0"/>
                <w:numId w:val="2"/>
              </w:numPr>
              <w:rPr>
                <w:rFonts w:ascii="Segoe UI" w:hAnsi="Segoe UI" w:cs="Segoe UI"/>
              </w:rPr>
            </w:pPr>
            <w:r w:rsidRPr="006F7FC5">
              <w:rPr>
                <w:rFonts w:ascii="Segoe UI" w:hAnsi="Segoe UI" w:cs="Segoe UI"/>
              </w:rPr>
              <w:t xml:space="preserve">While anyone can be </w:t>
            </w:r>
            <w:r>
              <w:rPr>
                <w:rFonts w:ascii="Segoe UI" w:hAnsi="Segoe UI" w:cs="Segoe UI"/>
              </w:rPr>
              <w:t>biased</w:t>
            </w:r>
            <w:r w:rsidR="00291E5E">
              <w:rPr>
                <w:rStyle w:val="FootnoteReference"/>
                <w:rFonts w:ascii="Segoe UI" w:hAnsi="Segoe UI" w:cs="Segoe UI"/>
              </w:rPr>
              <w:footnoteReference w:id="1"/>
            </w:r>
            <w:r>
              <w:rPr>
                <w:rFonts w:ascii="Segoe UI" w:hAnsi="Segoe UI" w:cs="Segoe UI"/>
              </w:rPr>
              <w:t xml:space="preserve">, the more diverse the committee the greater range of views are likely to be canvassed; diverse committees also send a positive </w:t>
            </w:r>
            <w:r w:rsidRPr="000C15F5">
              <w:rPr>
                <w:rFonts w:ascii="Segoe UI" w:hAnsi="Segoe UI" w:cs="Segoe UI"/>
              </w:rPr>
              <w:t>message to applicants</w:t>
            </w:r>
            <w:r w:rsidR="00877BBF" w:rsidRPr="000C15F5">
              <w:rPr>
                <w:rStyle w:val="FootnoteReference"/>
                <w:rFonts w:ascii="Segoe UI" w:hAnsi="Segoe UI" w:cs="Segoe UI"/>
              </w:rPr>
              <w:footnoteReference w:id="2"/>
            </w:r>
          </w:p>
          <w:p w14:paraId="2A367E1B" w14:textId="26790DED" w:rsidR="006F7FC5" w:rsidRPr="000C15F5" w:rsidRDefault="00373268" w:rsidP="00291E5E">
            <w:pPr>
              <w:pStyle w:val="ListParagraph"/>
              <w:numPr>
                <w:ilvl w:val="0"/>
                <w:numId w:val="2"/>
              </w:numPr>
              <w:rPr>
                <w:rFonts w:ascii="Segoe UI" w:hAnsi="Segoe UI" w:cs="Segoe UI"/>
              </w:rPr>
            </w:pPr>
            <w:proofErr w:type="spellStart"/>
            <w:r w:rsidRPr="000C15F5">
              <w:rPr>
                <w:rFonts w:ascii="Segoe UI" w:hAnsi="Segoe UI" w:cs="Segoe UI"/>
              </w:rPr>
              <w:t>UoA</w:t>
            </w:r>
            <w:proofErr w:type="spellEnd"/>
            <w:r w:rsidRPr="000C15F5">
              <w:rPr>
                <w:rFonts w:ascii="Segoe UI" w:hAnsi="Segoe UI" w:cs="Segoe UI"/>
              </w:rPr>
              <w:t xml:space="preserve"> procedures require committees to strive for gender balance and ethnic diversity</w:t>
            </w:r>
            <w:r w:rsidR="005C1C2D" w:rsidRPr="000C15F5">
              <w:rPr>
                <w:rFonts w:ascii="Segoe UI" w:hAnsi="Segoe UI" w:cs="Segoe UI"/>
              </w:rPr>
              <w:t xml:space="preserve"> (See </w:t>
            </w:r>
            <w:hyperlink r:id="rId8" w:history="1">
              <w:r w:rsidR="005C1C2D" w:rsidRPr="000C15F5">
                <w:rPr>
                  <w:rStyle w:val="Hyperlink"/>
                  <w:rFonts w:ascii="Segoe UI" w:hAnsi="Segoe UI" w:cs="Segoe UI"/>
                </w:rPr>
                <w:t>Academic</w:t>
              </w:r>
            </w:hyperlink>
            <w:r w:rsidR="005C1C2D" w:rsidRPr="000C15F5">
              <w:rPr>
                <w:rFonts w:ascii="Segoe UI" w:hAnsi="Segoe UI" w:cs="Segoe UI"/>
              </w:rPr>
              <w:t xml:space="preserve"> or </w:t>
            </w:r>
            <w:hyperlink r:id="rId9" w:history="1">
              <w:r w:rsidR="005C1C2D" w:rsidRPr="000C15F5">
                <w:rPr>
                  <w:rStyle w:val="Hyperlink"/>
                  <w:rFonts w:ascii="Segoe UI" w:hAnsi="Segoe UI" w:cs="Segoe UI"/>
                </w:rPr>
                <w:t>Professional</w:t>
              </w:r>
            </w:hyperlink>
            <w:r w:rsidR="005C1C2D" w:rsidRPr="000C15F5">
              <w:rPr>
                <w:rFonts w:ascii="Segoe UI" w:hAnsi="Segoe UI" w:cs="Segoe UI"/>
              </w:rPr>
              <w:t xml:space="preserve"> staff recruitment </w:t>
            </w:r>
            <w:r w:rsidR="006510AC" w:rsidRPr="000C15F5">
              <w:rPr>
                <w:rFonts w:ascii="Segoe UI" w:hAnsi="Segoe UI" w:cs="Segoe UI"/>
              </w:rPr>
              <w:t>p</w:t>
            </w:r>
            <w:r w:rsidR="005C1C2D" w:rsidRPr="000C15F5">
              <w:rPr>
                <w:rFonts w:ascii="Segoe UI" w:hAnsi="Segoe UI" w:cs="Segoe UI"/>
              </w:rPr>
              <w:t>rocedures</w:t>
            </w:r>
          </w:p>
          <w:p w14:paraId="0D1816F1" w14:textId="16C4621D" w:rsidR="006510AC" w:rsidRPr="000C15F5" w:rsidRDefault="006510AC" w:rsidP="00291E5E">
            <w:pPr>
              <w:pStyle w:val="ListParagraph"/>
              <w:numPr>
                <w:ilvl w:val="0"/>
                <w:numId w:val="2"/>
              </w:numPr>
              <w:rPr>
                <w:rFonts w:ascii="Segoe UI" w:hAnsi="Segoe UI" w:cs="Segoe UI"/>
              </w:rPr>
            </w:pPr>
            <w:r w:rsidRPr="000C15F5">
              <w:rPr>
                <w:rFonts w:ascii="Segoe UI" w:hAnsi="Segoe UI" w:cs="Segoe UI"/>
              </w:rPr>
              <w:t xml:space="preserve">Diversity within groups mitigates </w:t>
            </w:r>
            <w:proofErr w:type="gramStart"/>
            <w:r w:rsidRPr="000C15F5">
              <w:rPr>
                <w:rFonts w:ascii="Segoe UI" w:hAnsi="Segoe UI" w:cs="Segoe UI"/>
              </w:rPr>
              <w:t>group-think</w:t>
            </w:r>
            <w:proofErr w:type="gramEnd"/>
            <w:r w:rsidRPr="000C15F5">
              <w:rPr>
                <w:rFonts w:ascii="Segoe UI" w:hAnsi="Segoe UI" w:cs="Segoe UI"/>
              </w:rPr>
              <w:t xml:space="preserve"> but does not guarantee a good outcome for diverse candidates</w:t>
            </w:r>
            <w:r w:rsidR="00F656D5">
              <w:rPr>
                <w:rStyle w:val="FootnoteReference"/>
                <w:rFonts w:ascii="Segoe UI" w:hAnsi="Segoe UI" w:cs="Segoe UI"/>
              </w:rPr>
              <w:footnoteReference w:id="3"/>
            </w:r>
            <w:r w:rsidRPr="000C15F5">
              <w:rPr>
                <w:rFonts w:ascii="Segoe UI" w:hAnsi="Segoe UI" w:cs="Segoe UI"/>
              </w:rPr>
              <w:t xml:space="preserve"> (so it is important to mitigate bias with a range of strategies throughout the recruitment process).</w:t>
            </w:r>
          </w:p>
          <w:p w14:paraId="0CCB38D1" w14:textId="37474662" w:rsidR="00373268" w:rsidRPr="000C15F5" w:rsidRDefault="00373268" w:rsidP="00291E5E">
            <w:pPr>
              <w:pStyle w:val="ListParagraph"/>
              <w:numPr>
                <w:ilvl w:val="0"/>
                <w:numId w:val="2"/>
              </w:numPr>
              <w:rPr>
                <w:rFonts w:ascii="Segoe UI" w:hAnsi="Segoe UI" w:cs="Segoe UI"/>
              </w:rPr>
            </w:pPr>
            <w:r w:rsidRPr="000C15F5">
              <w:rPr>
                <w:rFonts w:ascii="Segoe UI" w:hAnsi="Segoe UI" w:cs="Segoe UI"/>
              </w:rPr>
              <w:t>If the vacancy has a particular responsibility for</w:t>
            </w:r>
            <w:r w:rsidR="00DC09B3" w:rsidRPr="000C15F5">
              <w:rPr>
                <w:rFonts w:ascii="Segoe UI" w:hAnsi="Segoe UI" w:cs="Segoe UI"/>
              </w:rPr>
              <w:t>, or knowledge about,</w:t>
            </w:r>
            <w:r w:rsidRPr="000C15F5">
              <w:rPr>
                <w:rFonts w:ascii="Segoe UI" w:hAnsi="Segoe UI" w:cs="Segoe UI"/>
              </w:rPr>
              <w:t xml:space="preserve"> Māori or </w:t>
            </w:r>
            <w:hyperlink r:id="rId10" w:history="1">
              <w:r w:rsidRPr="000C15F5">
                <w:rPr>
                  <w:rStyle w:val="Hyperlink"/>
                  <w:rFonts w:ascii="Segoe UI" w:hAnsi="Segoe UI" w:cs="Segoe UI"/>
                </w:rPr>
                <w:t>equity groups</w:t>
              </w:r>
            </w:hyperlink>
            <w:r w:rsidRPr="000C15F5">
              <w:rPr>
                <w:rFonts w:ascii="Segoe UI" w:hAnsi="Segoe UI" w:cs="Segoe UI"/>
              </w:rPr>
              <w:t>, there must be representation from that group</w:t>
            </w:r>
          </w:p>
          <w:p w14:paraId="6B4F6498" w14:textId="577F8430" w:rsidR="00373268" w:rsidRPr="000C15F5" w:rsidRDefault="00373268" w:rsidP="00291E5E">
            <w:pPr>
              <w:pStyle w:val="ListParagraph"/>
              <w:numPr>
                <w:ilvl w:val="0"/>
                <w:numId w:val="2"/>
              </w:numPr>
              <w:rPr>
                <w:rFonts w:ascii="Segoe UI" w:hAnsi="Segoe UI" w:cs="Segoe UI"/>
              </w:rPr>
            </w:pPr>
            <w:r w:rsidRPr="000C15F5">
              <w:rPr>
                <w:rFonts w:ascii="Segoe UI" w:hAnsi="Segoe UI" w:cs="Segoe UI"/>
              </w:rPr>
              <w:t>Ideally, if it is known that there is a Māori applicant or person from an equity group there should be a member of that same group on the committee</w:t>
            </w:r>
          </w:p>
          <w:p w14:paraId="0623B268" w14:textId="55C46200" w:rsidR="00291E5E" w:rsidRPr="00291E5E" w:rsidRDefault="00291E5E" w:rsidP="00291E5E">
            <w:pPr>
              <w:pStyle w:val="ListParagraph"/>
              <w:numPr>
                <w:ilvl w:val="0"/>
                <w:numId w:val="2"/>
              </w:numPr>
              <w:rPr>
                <w:rFonts w:ascii="Segoe UI" w:hAnsi="Segoe UI" w:cs="Segoe UI"/>
              </w:rPr>
            </w:pPr>
            <w:r w:rsidRPr="000C15F5">
              <w:rPr>
                <w:rFonts w:ascii="Segoe UI" w:hAnsi="Segoe UI" w:cs="Segoe UI"/>
              </w:rPr>
              <w:t>Committees may co-opt specialist adviser(s) to assist the committee with cultural diversity, sexuality or disability issues at any time during</w:t>
            </w:r>
            <w:r w:rsidRPr="004D3AC8">
              <w:rPr>
                <w:rFonts w:ascii="Segoe UI" w:hAnsi="Segoe UI" w:cs="Segoe UI"/>
              </w:rPr>
              <w:t xml:space="preserve"> the selection process</w:t>
            </w:r>
            <w:r>
              <w:rPr>
                <w:rFonts w:ascii="Segoe UI" w:hAnsi="Segoe UI" w:cs="Segoe UI"/>
              </w:rPr>
              <w:t xml:space="preserve">, </w:t>
            </w:r>
            <w:proofErr w:type="spellStart"/>
            <w:proofErr w:type="gramStart"/>
            <w:r w:rsidRPr="00291E5E">
              <w:rPr>
                <w:rFonts w:ascii="Segoe UI" w:hAnsi="Segoe UI" w:cs="Segoe UI"/>
              </w:rPr>
              <w:t>eg</w:t>
            </w:r>
            <w:proofErr w:type="spellEnd"/>
            <w:r w:rsidRPr="00291E5E">
              <w:rPr>
                <w:rFonts w:ascii="Segoe UI" w:hAnsi="Segoe UI" w:cs="Segoe UI"/>
              </w:rPr>
              <w:t>;</w:t>
            </w:r>
            <w:proofErr w:type="gramEnd"/>
            <w:r w:rsidRPr="00291E5E">
              <w:rPr>
                <w:rFonts w:ascii="Segoe UI" w:hAnsi="Segoe UI" w:cs="Segoe UI"/>
              </w:rPr>
              <w:t xml:space="preserve"> Contact the offices of PVC Equity, PVC Māori </w:t>
            </w:r>
            <w:r w:rsidR="005C1C2D">
              <w:rPr>
                <w:rFonts w:ascii="Segoe UI" w:hAnsi="Segoe UI" w:cs="Segoe UI"/>
              </w:rPr>
              <w:t xml:space="preserve">or </w:t>
            </w:r>
            <w:r w:rsidRPr="00291E5E">
              <w:rPr>
                <w:rFonts w:ascii="Segoe UI" w:hAnsi="Segoe UI" w:cs="Segoe UI"/>
              </w:rPr>
              <w:t>PVC Pacific</w:t>
            </w:r>
          </w:p>
          <w:p w14:paraId="01655368" w14:textId="5FD197FF" w:rsidR="00373268" w:rsidRDefault="00373268" w:rsidP="00291E5E">
            <w:pPr>
              <w:pStyle w:val="ListParagraph"/>
              <w:numPr>
                <w:ilvl w:val="0"/>
                <w:numId w:val="2"/>
              </w:numPr>
              <w:rPr>
                <w:rFonts w:ascii="Segoe UI" w:hAnsi="Segoe UI" w:cs="Segoe UI"/>
              </w:rPr>
            </w:pPr>
            <w:r>
              <w:rPr>
                <w:rFonts w:ascii="Segoe UI" w:hAnsi="Segoe UI" w:cs="Segoe UI"/>
              </w:rPr>
              <w:t>Including an independent member from another department encourages diversity of thought and approach</w:t>
            </w:r>
          </w:p>
          <w:p w14:paraId="5681206D" w14:textId="574C5C20" w:rsidR="00DC09B3" w:rsidRDefault="00DC09B3" w:rsidP="00291E5E">
            <w:pPr>
              <w:pStyle w:val="ListParagraph"/>
              <w:numPr>
                <w:ilvl w:val="0"/>
                <w:numId w:val="2"/>
              </w:numPr>
              <w:rPr>
                <w:rFonts w:ascii="Segoe UI" w:hAnsi="Segoe UI" w:cs="Segoe UI"/>
              </w:rPr>
            </w:pPr>
            <w:r>
              <w:rPr>
                <w:rFonts w:ascii="Segoe UI" w:hAnsi="Segoe UI" w:cs="Segoe UI"/>
              </w:rPr>
              <w:t>The FSC representative on a committee should not be the same person as the Chair</w:t>
            </w:r>
          </w:p>
          <w:p w14:paraId="28126B2E" w14:textId="42F30DCD" w:rsidR="00DC09B3" w:rsidRPr="006F7FC5" w:rsidRDefault="00DC09B3" w:rsidP="00DC09B3">
            <w:pPr>
              <w:pStyle w:val="ListParagraph"/>
              <w:ind w:left="360"/>
              <w:rPr>
                <w:rFonts w:ascii="Segoe UI" w:hAnsi="Segoe UI" w:cs="Segoe UI"/>
              </w:rPr>
            </w:pPr>
          </w:p>
        </w:tc>
      </w:tr>
      <w:tr w:rsidR="005B1F08" w14:paraId="1C5CF0CA" w14:textId="77777777" w:rsidTr="005B1F08">
        <w:tc>
          <w:tcPr>
            <w:tcW w:w="2972" w:type="dxa"/>
          </w:tcPr>
          <w:p w14:paraId="26ED371F" w14:textId="77777777" w:rsidR="005B1F08" w:rsidRDefault="00291E5E" w:rsidP="005B1F08">
            <w:pPr>
              <w:rPr>
                <w:color w:val="auto"/>
              </w:rPr>
            </w:pPr>
            <w:r>
              <w:rPr>
                <w:color w:val="auto"/>
              </w:rPr>
              <w:t xml:space="preserve">The </w:t>
            </w:r>
            <w:r w:rsidR="00373268" w:rsidRPr="00291E5E">
              <w:rPr>
                <w:color w:val="auto"/>
              </w:rPr>
              <w:t xml:space="preserve">Selection Committee </w:t>
            </w:r>
            <w:r w:rsidRPr="00291E5E">
              <w:rPr>
                <w:color w:val="auto"/>
              </w:rPr>
              <w:t>understand</w:t>
            </w:r>
            <w:r w:rsidR="00DC09B3">
              <w:rPr>
                <w:color w:val="auto"/>
              </w:rPr>
              <w:t>s,</w:t>
            </w:r>
            <w:r w:rsidRPr="00291E5E">
              <w:rPr>
                <w:color w:val="auto"/>
              </w:rPr>
              <w:t xml:space="preserve"> or </w:t>
            </w:r>
            <w:r w:rsidR="00DC09B3">
              <w:rPr>
                <w:color w:val="auto"/>
              </w:rPr>
              <w:t xml:space="preserve">has </w:t>
            </w:r>
            <w:r w:rsidRPr="00291E5E">
              <w:rPr>
                <w:color w:val="auto"/>
              </w:rPr>
              <w:t>access to</w:t>
            </w:r>
            <w:r w:rsidR="00DC09B3">
              <w:rPr>
                <w:color w:val="auto"/>
              </w:rPr>
              <w:t>,</w:t>
            </w:r>
            <w:r w:rsidRPr="00291E5E">
              <w:rPr>
                <w:color w:val="auto"/>
              </w:rPr>
              <w:t xml:space="preserve"> the relevant policies, </w:t>
            </w:r>
            <w:proofErr w:type="gramStart"/>
            <w:r w:rsidRPr="00291E5E">
              <w:rPr>
                <w:color w:val="auto"/>
              </w:rPr>
              <w:t>guidelines</w:t>
            </w:r>
            <w:proofErr w:type="gramEnd"/>
            <w:r w:rsidRPr="00291E5E">
              <w:rPr>
                <w:color w:val="auto"/>
              </w:rPr>
              <w:t xml:space="preserve"> and laws</w:t>
            </w:r>
          </w:p>
          <w:p w14:paraId="2A0955DE" w14:textId="09310039" w:rsidR="00F656D5" w:rsidRDefault="00F656D5" w:rsidP="005B1F08">
            <w:pPr>
              <w:rPr>
                <w:color w:val="auto"/>
              </w:rPr>
            </w:pPr>
            <w:r>
              <w:rPr>
                <w:color w:val="auto"/>
              </w:rPr>
              <w:t xml:space="preserve">(See also </w:t>
            </w:r>
            <w:hyperlink r:id="rId11" w:history="1">
              <w:r>
                <w:rPr>
                  <w:rStyle w:val="Hyperlink"/>
                </w:rPr>
                <w:t>Equity Policy, Guidelines, Legislation</w:t>
              </w:r>
            </w:hyperlink>
            <w:r>
              <w:rPr>
                <w:color w:val="auto"/>
              </w:rPr>
              <w:t>)</w:t>
            </w:r>
          </w:p>
          <w:p w14:paraId="2F2CD215" w14:textId="38EE5395" w:rsidR="00F656D5" w:rsidRPr="00291E5E" w:rsidRDefault="00F656D5" w:rsidP="005B1F08">
            <w:pPr>
              <w:rPr>
                <w:color w:val="auto"/>
              </w:rPr>
            </w:pPr>
          </w:p>
        </w:tc>
        <w:tc>
          <w:tcPr>
            <w:tcW w:w="6044" w:type="dxa"/>
          </w:tcPr>
          <w:p w14:paraId="5130F36D" w14:textId="439EA314" w:rsidR="005B1F08" w:rsidRPr="00F656D5" w:rsidRDefault="009704BA" w:rsidP="00006B84">
            <w:pPr>
              <w:pStyle w:val="ListParagraph"/>
              <w:numPr>
                <w:ilvl w:val="0"/>
                <w:numId w:val="4"/>
              </w:numPr>
              <w:rPr>
                <w:rStyle w:val="Hyperlink"/>
                <w:rFonts w:ascii="Segoe UI" w:hAnsi="Segoe UI" w:cs="Segoe UI"/>
                <w:sz w:val="20"/>
                <w:szCs w:val="20"/>
              </w:rPr>
            </w:pPr>
            <w:hyperlink r:id="rId12" w:history="1">
              <w:r w:rsidR="00291E5E" w:rsidRPr="00F656D5">
                <w:rPr>
                  <w:rStyle w:val="Hyperlink"/>
                  <w:rFonts w:ascii="Segoe UI" w:hAnsi="Segoe UI" w:cs="Segoe UI"/>
                  <w:sz w:val="20"/>
                  <w:szCs w:val="20"/>
                </w:rPr>
                <w:t>Recruitment, Selection and Appointment Policy</w:t>
              </w:r>
            </w:hyperlink>
            <w:r w:rsidR="00F656D5" w:rsidRPr="00F656D5">
              <w:rPr>
                <w:rStyle w:val="Hyperlink"/>
                <w:rFonts w:ascii="Segoe UI" w:hAnsi="Segoe UI" w:cs="Segoe UI"/>
                <w:sz w:val="20"/>
                <w:szCs w:val="20"/>
              </w:rPr>
              <w:t xml:space="preserve"> </w:t>
            </w:r>
            <w:r w:rsidR="00F656D5" w:rsidRPr="00F656D5">
              <w:rPr>
                <w:rStyle w:val="Hyperlink"/>
                <w:sz w:val="20"/>
                <w:szCs w:val="20"/>
              </w:rPr>
              <w:t>and Procedures</w:t>
            </w:r>
          </w:p>
          <w:p w14:paraId="6939B61B" w14:textId="1BD380CA" w:rsidR="00291E5E" w:rsidRPr="001579A0" w:rsidRDefault="009704BA" w:rsidP="00006B84">
            <w:pPr>
              <w:pStyle w:val="ListParagraph"/>
              <w:numPr>
                <w:ilvl w:val="0"/>
                <w:numId w:val="4"/>
              </w:numPr>
              <w:rPr>
                <w:rFonts w:ascii="Segoe UI" w:hAnsi="Segoe UI" w:cs="Segoe UI"/>
              </w:rPr>
            </w:pPr>
            <w:hyperlink r:id="rId13" w:history="1">
              <w:r w:rsidR="00DC09B3" w:rsidRPr="001579A0">
                <w:rPr>
                  <w:rStyle w:val="Hyperlink"/>
                  <w:rFonts w:ascii="Segoe UI" w:hAnsi="Segoe UI" w:cs="Segoe UI"/>
                </w:rPr>
                <w:t>Equitable employment processes</w:t>
              </w:r>
            </w:hyperlink>
            <w:r w:rsidR="00291E5E" w:rsidRPr="001579A0">
              <w:rPr>
                <w:rFonts w:ascii="Segoe UI" w:hAnsi="Segoe UI" w:cs="Segoe UI"/>
              </w:rPr>
              <w:t xml:space="preserve"> </w:t>
            </w:r>
          </w:p>
          <w:p w14:paraId="52C1895F" w14:textId="1C0098B5" w:rsidR="00291E5E" w:rsidRPr="001579A0" w:rsidRDefault="009704BA" w:rsidP="00006B84">
            <w:pPr>
              <w:pStyle w:val="ListParagraph"/>
              <w:numPr>
                <w:ilvl w:val="0"/>
                <w:numId w:val="4"/>
              </w:numPr>
              <w:rPr>
                <w:rFonts w:ascii="Segoe UI" w:hAnsi="Segoe UI" w:cs="Segoe UI"/>
              </w:rPr>
            </w:pPr>
            <w:hyperlink r:id="rId14" w:history="1">
              <w:r w:rsidR="00291E5E" w:rsidRPr="001579A0">
                <w:rPr>
                  <w:rStyle w:val="Hyperlink"/>
                  <w:rFonts w:ascii="Segoe UI" w:hAnsi="Segoe UI" w:cs="Segoe UI"/>
                </w:rPr>
                <w:t>Impartial decision making</w:t>
              </w:r>
            </w:hyperlink>
            <w:r w:rsidR="00291E5E" w:rsidRPr="001579A0">
              <w:rPr>
                <w:rFonts w:ascii="Segoe UI" w:hAnsi="Segoe UI" w:cs="Segoe UI"/>
              </w:rPr>
              <w:t xml:space="preserve"> </w:t>
            </w:r>
          </w:p>
          <w:p w14:paraId="0B044C3E" w14:textId="423FB9D1" w:rsidR="00291E5E" w:rsidRPr="001579A0" w:rsidRDefault="009704BA" w:rsidP="00006B84">
            <w:pPr>
              <w:pStyle w:val="ListParagraph"/>
              <w:numPr>
                <w:ilvl w:val="0"/>
                <w:numId w:val="4"/>
              </w:numPr>
              <w:rPr>
                <w:rFonts w:ascii="Segoe UI" w:hAnsi="Segoe UI" w:cs="Segoe UI"/>
              </w:rPr>
            </w:pPr>
            <w:hyperlink r:id="rId15" w:history="1">
              <w:r w:rsidR="001579A0">
                <w:rPr>
                  <w:rStyle w:val="Hyperlink"/>
                  <w:rFonts w:ascii="Segoe UI" w:hAnsi="Segoe UI" w:cs="Segoe UI"/>
                </w:rPr>
                <w:t xml:space="preserve">Achievement Relative to Opportunity </w:t>
              </w:r>
            </w:hyperlink>
            <w:r w:rsidR="00291E5E" w:rsidRPr="001579A0">
              <w:rPr>
                <w:rFonts w:ascii="Segoe UI" w:hAnsi="Segoe UI" w:cs="Segoe UI"/>
              </w:rPr>
              <w:t xml:space="preserve"> </w:t>
            </w:r>
          </w:p>
          <w:p w14:paraId="3E30CD0A" w14:textId="124C0FC6" w:rsidR="00291E5E" w:rsidRPr="001579A0" w:rsidRDefault="009704BA" w:rsidP="00006B84">
            <w:pPr>
              <w:pStyle w:val="ListParagraph"/>
              <w:numPr>
                <w:ilvl w:val="0"/>
                <w:numId w:val="4"/>
              </w:numPr>
              <w:rPr>
                <w:rFonts w:ascii="Segoe UI" w:hAnsi="Segoe UI" w:cs="Segoe UI"/>
              </w:rPr>
            </w:pPr>
            <w:hyperlink r:id="rId16" w:history="1">
              <w:r w:rsidR="00291E5E" w:rsidRPr="001579A0">
                <w:rPr>
                  <w:rStyle w:val="Hyperlink"/>
                  <w:rFonts w:ascii="Segoe UI" w:hAnsi="Segoe UI" w:cs="Segoe UI"/>
                </w:rPr>
                <w:t>Flexible Work</w:t>
              </w:r>
            </w:hyperlink>
          </w:p>
          <w:p w14:paraId="4583ACBB" w14:textId="3EEDA71D" w:rsidR="00291E5E" w:rsidRPr="001579A0" w:rsidRDefault="009704BA" w:rsidP="00006B84">
            <w:pPr>
              <w:pStyle w:val="ListParagraph"/>
              <w:numPr>
                <w:ilvl w:val="0"/>
                <w:numId w:val="4"/>
              </w:numPr>
              <w:rPr>
                <w:rStyle w:val="Hyperlink"/>
                <w:rFonts w:ascii="Segoe UI" w:hAnsi="Segoe UI" w:cs="Segoe UI"/>
              </w:rPr>
            </w:pPr>
            <w:hyperlink r:id="rId17" w:history="1">
              <w:r w:rsidR="00291E5E" w:rsidRPr="001579A0">
                <w:rPr>
                  <w:rStyle w:val="Hyperlink"/>
                  <w:rFonts w:ascii="Segoe UI" w:hAnsi="Segoe UI" w:cs="Segoe UI"/>
                </w:rPr>
                <w:t>Conflicts of Interest</w:t>
              </w:r>
            </w:hyperlink>
          </w:p>
          <w:p w14:paraId="42864831" w14:textId="076C3FF7" w:rsidR="00291E5E" w:rsidRDefault="009704BA" w:rsidP="00006B84">
            <w:pPr>
              <w:pStyle w:val="ListParagraph"/>
              <w:numPr>
                <w:ilvl w:val="0"/>
                <w:numId w:val="4"/>
              </w:numPr>
              <w:rPr>
                <w:rStyle w:val="Hyperlink"/>
                <w:rFonts w:ascii="Segoe UI" w:hAnsi="Segoe UI" w:cs="Segoe UI"/>
              </w:rPr>
            </w:pPr>
            <w:hyperlink r:id="rId18" w:history="1">
              <w:r w:rsidR="00DC09B3" w:rsidRPr="001579A0">
                <w:rPr>
                  <w:rStyle w:val="Hyperlink"/>
                  <w:rFonts w:ascii="Segoe UI" w:hAnsi="Segoe UI" w:cs="Segoe UI"/>
                </w:rPr>
                <w:t>Privacy legislation</w:t>
              </w:r>
            </w:hyperlink>
          </w:p>
          <w:p w14:paraId="518E3F65" w14:textId="77777777" w:rsidR="0070304F" w:rsidRDefault="009704BA" w:rsidP="00006B84">
            <w:pPr>
              <w:pStyle w:val="ListParagraph"/>
              <w:numPr>
                <w:ilvl w:val="0"/>
                <w:numId w:val="4"/>
              </w:numPr>
              <w:rPr>
                <w:rStyle w:val="Hyperlink"/>
                <w:rFonts w:ascii="Segoe UI" w:hAnsi="Segoe UI" w:cs="Segoe UI"/>
              </w:rPr>
            </w:pPr>
            <w:hyperlink r:id="rId19" w:history="1">
              <w:r w:rsidR="0070304F">
                <w:rPr>
                  <w:rStyle w:val="Hyperlink"/>
                  <w:rFonts w:ascii="Segoe UI" w:hAnsi="Segoe UI" w:cs="Segoe UI"/>
                </w:rPr>
                <w:t>Human Rights Legislation</w:t>
              </w:r>
            </w:hyperlink>
          </w:p>
          <w:p w14:paraId="5EDE9350" w14:textId="0B7FCAF6" w:rsidR="0070304F" w:rsidRDefault="009704BA" w:rsidP="00006B84">
            <w:pPr>
              <w:pStyle w:val="ListParagraph"/>
              <w:numPr>
                <w:ilvl w:val="0"/>
                <w:numId w:val="4"/>
              </w:numPr>
              <w:rPr>
                <w:rStyle w:val="Hyperlink"/>
                <w:rFonts w:ascii="Segoe UI" w:hAnsi="Segoe UI" w:cs="Segoe UI"/>
              </w:rPr>
            </w:pPr>
            <w:hyperlink r:id="rId20" w:history="1">
              <w:r w:rsidR="0070304F">
                <w:rPr>
                  <w:rStyle w:val="Hyperlink"/>
                  <w:rFonts w:ascii="Segoe UI" w:hAnsi="Segoe UI" w:cs="Segoe UI"/>
                </w:rPr>
                <w:t>State Sector Act</w:t>
              </w:r>
            </w:hyperlink>
            <w:r w:rsidR="0070304F">
              <w:rPr>
                <w:rStyle w:val="Hyperlink"/>
                <w:rFonts w:ascii="Segoe UI" w:hAnsi="Segoe UI" w:cs="Segoe UI"/>
              </w:rPr>
              <w:t xml:space="preserve"> </w:t>
            </w:r>
          </w:p>
          <w:p w14:paraId="658437C8" w14:textId="36EE4130" w:rsidR="00291E5E" w:rsidRPr="0070304F" w:rsidRDefault="0070304F" w:rsidP="005B1F08">
            <w:pPr>
              <w:pStyle w:val="ListParagraph"/>
              <w:numPr>
                <w:ilvl w:val="0"/>
                <w:numId w:val="4"/>
              </w:numPr>
              <w:rPr>
                <w:rFonts w:ascii="Segoe UI" w:hAnsi="Segoe UI" w:cs="Segoe UI"/>
                <w:color w:val="0563C1" w:themeColor="hyperlink"/>
                <w:u w:val="single"/>
              </w:rPr>
            </w:pPr>
            <w:r>
              <w:t xml:space="preserve">See also </w:t>
            </w:r>
            <w:hyperlink r:id="rId21" w:history="1">
              <w:r>
                <w:rPr>
                  <w:rStyle w:val="Hyperlink"/>
                </w:rPr>
                <w:t>Equity laws and policies</w:t>
              </w:r>
            </w:hyperlink>
          </w:p>
        </w:tc>
      </w:tr>
      <w:tr w:rsidR="000C15F5" w14:paraId="5FA760C2" w14:textId="77777777" w:rsidTr="005B1F08">
        <w:tc>
          <w:tcPr>
            <w:tcW w:w="2972" w:type="dxa"/>
          </w:tcPr>
          <w:p w14:paraId="7425C84C" w14:textId="4A2413E6" w:rsidR="000C15F5" w:rsidRDefault="000C15F5" w:rsidP="000C15F5">
            <w:pPr>
              <w:rPr>
                <w:color w:val="auto"/>
              </w:rPr>
            </w:pPr>
            <w:r>
              <w:rPr>
                <w:color w:val="auto"/>
              </w:rPr>
              <w:lastRenderedPageBreak/>
              <w:t>The Selection Committee is involved in the whole recruitment process</w:t>
            </w:r>
          </w:p>
        </w:tc>
        <w:tc>
          <w:tcPr>
            <w:tcW w:w="6044" w:type="dxa"/>
          </w:tcPr>
          <w:p w14:paraId="651C4581" w14:textId="77777777" w:rsidR="000C15F5" w:rsidRPr="000C15F5" w:rsidRDefault="000C15F5" w:rsidP="000C15F5">
            <w:pPr>
              <w:pStyle w:val="ListParagraph"/>
              <w:numPr>
                <w:ilvl w:val="0"/>
                <w:numId w:val="5"/>
              </w:numPr>
              <w:rPr>
                <w:rFonts w:ascii="Segoe UI" w:hAnsi="Segoe UI" w:cs="Segoe UI"/>
              </w:rPr>
            </w:pPr>
            <w:r w:rsidRPr="000C15F5">
              <w:rPr>
                <w:rFonts w:ascii="Segoe UI" w:hAnsi="Segoe UI" w:cs="Segoe UI"/>
              </w:rPr>
              <w:t xml:space="preserve">Using multiple rather than single interviewers </w:t>
            </w:r>
            <w:proofErr w:type="gramStart"/>
            <w:r w:rsidRPr="000C15F5">
              <w:rPr>
                <w:rFonts w:ascii="Segoe UI" w:hAnsi="Segoe UI" w:cs="Segoe UI"/>
              </w:rPr>
              <w:t>reduces</w:t>
            </w:r>
            <w:proofErr w:type="gramEnd"/>
            <w:r w:rsidRPr="000C15F5">
              <w:rPr>
                <w:rFonts w:ascii="Segoe UI" w:hAnsi="Segoe UI" w:cs="Segoe UI"/>
              </w:rPr>
              <w:t xml:space="preserve"> bias and makes for better hiring decisions overall.</w:t>
            </w:r>
          </w:p>
          <w:p w14:paraId="08A355BC" w14:textId="782B0509" w:rsidR="000C15F5" w:rsidRPr="000C15F5" w:rsidRDefault="000C15F5" w:rsidP="000C15F5">
            <w:pPr>
              <w:pStyle w:val="ListParagraph"/>
              <w:numPr>
                <w:ilvl w:val="0"/>
                <w:numId w:val="5"/>
              </w:numPr>
              <w:rPr>
                <w:rFonts w:ascii="Segoe UI" w:hAnsi="Segoe UI" w:cs="Segoe UI"/>
              </w:rPr>
            </w:pPr>
            <w:r w:rsidRPr="000C15F5">
              <w:rPr>
                <w:rFonts w:ascii="Segoe UI" w:hAnsi="Segoe UI" w:cs="Segoe UI"/>
              </w:rPr>
              <w:t>The committee should consist of the same people for each applicant being shortlisted and interviewed</w:t>
            </w:r>
            <w:r w:rsidR="00552164">
              <w:rPr>
                <w:rFonts w:ascii="Segoe UI" w:hAnsi="Segoe UI" w:cs="Segoe UI"/>
              </w:rPr>
              <w:t xml:space="preserve"> and will be involved in all facets of the recruitment process</w:t>
            </w:r>
            <w:r w:rsidR="00552164">
              <w:rPr>
                <w:rStyle w:val="FootnoteReference"/>
                <w:rFonts w:ascii="Segoe UI" w:hAnsi="Segoe UI" w:cs="Segoe UI"/>
              </w:rPr>
              <w:footnoteReference w:id="4"/>
            </w:r>
          </w:p>
          <w:p w14:paraId="7D1CC80A" w14:textId="77777777" w:rsidR="000C15F5" w:rsidRPr="000C15F5" w:rsidRDefault="000C15F5" w:rsidP="000C15F5">
            <w:pPr>
              <w:pStyle w:val="ListParagraph"/>
              <w:numPr>
                <w:ilvl w:val="0"/>
                <w:numId w:val="5"/>
              </w:numPr>
              <w:rPr>
                <w:rFonts w:ascii="Segoe UI" w:hAnsi="Segoe UI" w:cs="Segoe UI"/>
              </w:rPr>
            </w:pPr>
            <w:r w:rsidRPr="000C15F5">
              <w:rPr>
                <w:rFonts w:ascii="Segoe UI" w:hAnsi="Segoe UI" w:cs="Segoe UI"/>
              </w:rPr>
              <w:t>If all selection committee members are not included in job scoping, determining selection criteria or advertising, the Hiring Manager/Chair of Selection Committee, will fully brief members on these factors to ensure all committee members are clear on the qualifications, skills and experiences required for the job.</w:t>
            </w:r>
          </w:p>
          <w:p w14:paraId="5433110E" w14:textId="5023A7EC" w:rsidR="000C15F5" w:rsidRPr="000C15F5" w:rsidRDefault="000C15F5" w:rsidP="000C15F5">
            <w:pPr>
              <w:pStyle w:val="ListParagraph"/>
              <w:numPr>
                <w:ilvl w:val="0"/>
                <w:numId w:val="5"/>
              </w:numPr>
              <w:rPr>
                <w:rFonts w:ascii="Segoe UI" w:hAnsi="Segoe UI" w:cs="Segoe UI"/>
              </w:rPr>
            </w:pPr>
            <w:r w:rsidRPr="000C15F5">
              <w:rPr>
                <w:rFonts w:ascii="Segoe UI" w:hAnsi="Segoe UI" w:cs="Segoe UI"/>
              </w:rPr>
              <w:t xml:space="preserve">If in exceptional circumstances all selection committee members cannot be involved in shortlisting, long listing or </w:t>
            </w:r>
            <w:r w:rsidR="008807EF">
              <w:rPr>
                <w:rFonts w:ascii="Segoe UI" w:hAnsi="Segoe UI" w:cs="Segoe UI"/>
              </w:rPr>
              <w:t>interviewing</w:t>
            </w:r>
            <w:r w:rsidRPr="000C15F5">
              <w:rPr>
                <w:rFonts w:ascii="Segoe UI" w:hAnsi="Segoe UI" w:cs="Segoe UI"/>
              </w:rPr>
              <w:t>, the Hiring Manager or Chair and those undertaking these tasks will fully brief the other members on the criteria, process and how applicants met the criteria to ensure fair and consistent decision making.</w:t>
            </w:r>
          </w:p>
          <w:p w14:paraId="68820930" w14:textId="77777777" w:rsidR="000C15F5" w:rsidRPr="000C15F5" w:rsidRDefault="000C15F5" w:rsidP="000C15F5"/>
        </w:tc>
      </w:tr>
      <w:tr w:rsidR="009208D9" w14:paraId="6BC6C888" w14:textId="77777777" w:rsidTr="009208D9">
        <w:tc>
          <w:tcPr>
            <w:tcW w:w="2972" w:type="dxa"/>
            <w:tcBorders>
              <w:top w:val="single" w:sz="4" w:space="0" w:color="auto"/>
              <w:left w:val="single" w:sz="4" w:space="0" w:color="auto"/>
              <w:bottom w:val="single" w:sz="4" w:space="0" w:color="auto"/>
              <w:right w:val="single" w:sz="4" w:space="0" w:color="auto"/>
            </w:tcBorders>
            <w:hideMark/>
          </w:tcPr>
          <w:p w14:paraId="4F35F3DB" w14:textId="77777777" w:rsidR="009208D9" w:rsidRDefault="009208D9">
            <w:pPr>
              <w:rPr>
                <w:i/>
                <w:iCs/>
              </w:rPr>
            </w:pPr>
            <w:r>
              <w:t>The hiring manager (Committee Chair) is skilled and trained in inclusive recruitment and all committee members have access to training</w:t>
            </w:r>
          </w:p>
        </w:tc>
        <w:tc>
          <w:tcPr>
            <w:tcW w:w="6044" w:type="dxa"/>
            <w:tcBorders>
              <w:top w:val="single" w:sz="4" w:space="0" w:color="auto"/>
              <w:left w:val="single" w:sz="4" w:space="0" w:color="auto"/>
              <w:bottom w:val="single" w:sz="4" w:space="0" w:color="auto"/>
              <w:right w:val="single" w:sz="4" w:space="0" w:color="auto"/>
            </w:tcBorders>
          </w:tcPr>
          <w:p w14:paraId="63D90AD3" w14:textId="77777777" w:rsidR="009208D9" w:rsidRDefault="009208D9" w:rsidP="009208D9">
            <w:pPr>
              <w:pStyle w:val="ListParagraph"/>
              <w:numPr>
                <w:ilvl w:val="0"/>
                <w:numId w:val="8"/>
              </w:numPr>
              <w:rPr>
                <w:rFonts w:ascii="Segoe UI" w:hAnsi="Segoe UI" w:cs="Segoe UI"/>
                <w:color w:val="4A4C4C"/>
              </w:rPr>
            </w:pPr>
            <w:r>
              <w:rPr>
                <w:rFonts w:ascii="Segoe UI" w:hAnsi="Segoe UI" w:cs="Segoe UI"/>
                <w:color w:val="4A4C4C"/>
              </w:rPr>
              <w:t>To maximise effectiveness of decision making and to ensure an inclusive recruitment process, the hiring manager would:</w:t>
            </w:r>
            <w:r>
              <w:rPr>
                <w:rStyle w:val="FootnoteReference"/>
                <w:rFonts w:ascii="Segoe UI" w:hAnsi="Segoe UI" w:cs="Segoe UI"/>
                <w:color w:val="4A4C4C"/>
              </w:rPr>
              <w:footnoteReference w:id="5"/>
            </w:r>
          </w:p>
          <w:p w14:paraId="18811A92" w14:textId="77777777" w:rsidR="009208D9" w:rsidRDefault="009208D9" w:rsidP="009208D9">
            <w:pPr>
              <w:pStyle w:val="ListParagraph"/>
              <w:numPr>
                <w:ilvl w:val="1"/>
                <w:numId w:val="8"/>
              </w:numPr>
              <w:rPr>
                <w:rFonts w:ascii="Segoe UI" w:hAnsi="Segoe UI" w:cs="Segoe UI"/>
                <w:color w:val="4A4C4C"/>
              </w:rPr>
            </w:pPr>
            <w:r>
              <w:rPr>
                <w:rFonts w:ascii="Segoe UI" w:hAnsi="Segoe UI" w:cs="Segoe UI"/>
                <w:color w:val="4A4C4C"/>
              </w:rPr>
              <w:t>Have an open leadership style</w:t>
            </w:r>
          </w:p>
          <w:p w14:paraId="2BE50551" w14:textId="77777777" w:rsidR="009208D9" w:rsidRDefault="009208D9" w:rsidP="009208D9">
            <w:pPr>
              <w:pStyle w:val="ListParagraph"/>
              <w:numPr>
                <w:ilvl w:val="1"/>
                <w:numId w:val="8"/>
              </w:numPr>
              <w:rPr>
                <w:rFonts w:ascii="Segoe UI" w:hAnsi="Segoe UI" w:cs="Segoe UI"/>
                <w:color w:val="4A4C4C"/>
              </w:rPr>
            </w:pPr>
            <w:r>
              <w:rPr>
                <w:rFonts w:ascii="Segoe UI" w:hAnsi="Segoe UI" w:cs="Segoe UI"/>
                <w:color w:val="4A4C4C"/>
              </w:rPr>
              <w:t>Structure discussion</w:t>
            </w:r>
          </w:p>
          <w:p w14:paraId="0C09C9B3" w14:textId="77777777" w:rsidR="009208D9" w:rsidRDefault="009208D9" w:rsidP="009208D9">
            <w:pPr>
              <w:pStyle w:val="ListParagraph"/>
              <w:numPr>
                <w:ilvl w:val="1"/>
                <w:numId w:val="8"/>
              </w:numPr>
              <w:rPr>
                <w:rFonts w:ascii="Segoe UI" w:hAnsi="Segoe UI" w:cs="Segoe UI"/>
                <w:color w:val="4A4C4C"/>
              </w:rPr>
            </w:pPr>
            <w:r>
              <w:rPr>
                <w:rFonts w:ascii="Segoe UI" w:hAnsi="Segoe UI" w:cs="Segoe UI"/>
                <w:color w:val="4A4C4C"/>
              </w:rPr>
              <w:t>Encourage dissent</w:t>
            </w:r>
          </w:p>
          <w:p w14:paraId="6E8B8043" w14:textId="77777777" w:rsidR="009208D9" w:rsidRDefault="009208D9" w:rsidP="009208D9">
            <w:pPr>
              <w:pStyle w:val="ListParagraph"/>
              <w:numPr>
                <w:ilvl w:val="1"/>
                <w:numId w:val="8"/>
              </w:numPr>
              <w:rPr>
                <w:rFonts w:ascii="Segoe UI" w:hAnsi="Segoe UI" w:cs="Segoe UI"/>
                <w:color w:val="4A4C4C"/>
              </w:rPr>
            </w:pPr>
            <w:r>
              <w:rPr>
                <w:rFonts w:ascii="Segoe UI" w:hAnsi="Segoe UI" w:cs="Segoe UI"/>
                <w:color w:val="4A4C4C"/>
              </w:rPr>
              <w:t>Reduce time pressure on decision making</w:t>
            </w:r>
          </w:p>
          <w:p w14:paraId="78C478EE" w14:textId="77777777" w:rsidR="009208D9" w:rsidRDefault="009208D9" w:rsidP="009208D9">
            <w:pPr>
              <w:pStyle w:val="ListParagraph"/>
              <w:numPr>
                <w:ilvl w:val="1"/>
                <w:numId w:val="8"/>
              </w:numPr>
              <w:rPr>
                <w:rFonts w:ascii="Segoe UI" w:hAnsi="Segoe UI" w:cs="Segoe UI"/>
                <w:color w:val="4A4C4C"/>
              </w:rPr>
            </w:pPr>
            <w:r>
              <w:rPr>
                <w:rFonts w:ascii="Segoe UI" w:hAnsi="Segoe UI" w:cs="Segoe UI"/>
                <w:color w:val="4A4C4C"/>
              </w:rPr>
              <w:t>Ensure the committee is diverse and includes an independent voice</w:t>
            </w:r>
          </w:p>
          <w:p w14:paraId="24604690" w14:textId="77777777" w:rsidR="009208D9" w:rsidRDefault="009208D9" w:rsidP="009208D9">
            <w:pPr>
              <w:pStyle w:val="ListParagraph"/>
              <w:numPr>
                <w:ilvl w:val="1"/>
                <w:numId w:val="8"/>
              </w:numPr>
              <w:rPr>
                <w:rFonts w:ascii="Segoe UI" w:hAnsi="Segoe UI" w:cs="Segoe UI"/>
                <w:color w:val="4A4C4C"/>
              </w:rPr>
            </w:pPr>
            <w:r>
              <w:rPr>
                <w:rFonts w:ascii="Segoe UI" w:hAnsi="Segoe UI" w:cs="Segoe UI"/>
                <w:color w:val="4A4C4C"/>
              </w:rPr>
              <w:t>Able to access subject matter experts including experts on equity issues such as employment of people with disability etc.</w:t>
            </w:r>
          </w:p>
          <w:p w14:paraId="1C7FBEC8" w14:textId="77777777" w:rsidR="009208D9" w:rsidRDefault="009208D9">
            <w:pPr>
              <w:pStyle w:val="ListParagraph"/>
              <w:ind w:left="1080"/>
              <w:rPr>
                <w:rFonts w:ascii="Segoe UI" w:hAnsi="Segoe UI" w:cs="Segoe UI"/>
                <w:color w:val="4A4C4C"/>
              </w:rPr>
            </w:pPr>
          </w:p>
        </w:tc>
      </w:tr>
      <w:tr w:rsidR="005B1F08" w14:paraId="4387BE36" w14:textId="77777777" w:rsidTr="005B1F08">
        <w:tc>
          <w:tcPr>
            <w:tcW w:w="2972" w:type="dxa"/>
          </w:tcPr>
          <w:p w14:paraId="08853EE4" w14:textId="60F0E6DB" w:rsidR="005B1F08" w:rsidRPr="00006B84" w:rsidRDefault="00006B84" w:rsidP="005B1F08">
            <w:pPr>
              <w:rPr>
                <w:color w:val="auto"/>
              </w:rPr>
            </w:pPr>
            <w:r>
              <w:rPr>
                <w:color w:val="auto"/>
              </w:rPr>
              <w:t>Appropriate t</w:t>
            </w:r>
            <w:r w:rsidRPr="00006B84">
              <w:rPr>
                <w:color w:val="auto"/>
              </w:rPr>
              <w:t>raining is a</w:t>
            </w:r>
            <w:r>
              <w:rPr>
                <w:color w:val="auto"/>
              </w:rPr>
              <w:t>vailable and encouraged for all committee members</w:t>
            </w:r>
            <w:r w:rsidR="000C15F5">
              <w:rPr>
                <w:color w:val="auto"/>
              </w:rPr>
              <w:t xml:space="preserve">, particularly in removing gender bias and </w:t>
            </w:r>
            <w:r w:rsidR="00FB3D67">
              <w:rPr>
                <w:color w:val="auto"/>
              </w:rPr>
              <w:t xml:space="preserve">improving </w:t>
            </w:r>
            <w:r w:rsidR="000C15F5">
              <w:rPr>
                <w:color w:val="auto"/>
              </w:rPr>
              <w:t>cultural competency</w:t>
            </w:r>
          </w:p>
        </w:tc>
        <w:tc>
          <w:tcPr>
            <w:tcW w:w="6044" w:type="dxa"/>
          </w:tcPr>
          <w:p w14:paraId="137857EB" w14:textId="71F6220B" w:rsidR="000C15F5" w:rsidRPr="000C15F5" w:rsidRDefault="00A9540C" w:rsidP="000C15F5">
            <w:pPr>
              <w:rPr>
                <w:b/>
                <w:bCs/>
              </w:rPr>
            </w:pPr>
            <w:r>
              <w:rPr>
                <w:b/>
                <w:bCs/>
              </w:rPr>
              <w:t>E</w:t>
            </w:r>
            <w:r w:rsidR="000C15F5" w:rsidRPr="000C15F5">
              <w:rPr>
                <w:b/>
                <w:bCs/>
              </w:rPr>
              <w:t>xample</w:t>
            </w:r>
            <w:r>
              <w:rPr>
                <w:b/>
                <w:bCs/>
              </w:rPr>
              <w:t>s</w:t>
            </w:r>
          </w:p>
          <w:p w14:paraId="4B9FD93E" w14:textId="01B57D1A" w:rsidR="000C15F5" w:rsidRPr="00A9540C" w:rsidRDefault="000C15F5" w:rsidP="00A9540C">
            <w:pPr>
              <w:pStyle w:val="ListParagraph"/>
              <w:numPr>
                <w:ilvl w:val="0"/>
                <w:numId w:val="7"/>
              </w:numPr>
              <w:rPr>
                <w:rFonts w:ascii="Segoe UI" w:hAnsi="Segoe UI" w:cs="Segoe UI"/>
                <w:color w:val="0070C0"/>
              </w:rPr>
            </w:pPr>
            <w:r w:rsidRPr="00A9540C">
              <w:rPr>
                <w:rFonts w:ascii="Segoe UI" w:hAnsi="Segoe UI" w:cs="Segoe UI"/>
                <w:color w:val="0070C0"/>
              </w:rPr>
              <w:t xml:space="preserve">Members should be wary of assuming that women with caring </w:t>
            </w:r>
            <w:r w:rsidRPr="0017605B">
              <w:rPr>
                <w:rFonts w:ascii="Segoe UI" w:hAnsi="Segoe UI" w:cs="Segoe UI"/>
                <w:color w:val="0070C0"/>
              </w:rPr>
              <w:t>responsibilities do not have ambitions</w:t>
            </w:r>
            <w:r w:rsidR="0017605B">
              <w:rPr>
                <w:rFonts w:ascii="Segoe UI" w:hAnsi="Segoe UI" w:cs="Segoe UI"/>
                <w:color w:val="0070C0"/>
              </w:rPr>
              <w:t>,</w:t>
            </w:r>
            <w:r w:rsidRPr="0017605B">
              <w:rPr>
                <w:rFonts w:ascii="Segoe UI" w:hAnsi="Segoe UI" w:cs="Segoe UI"/>
                <w:color w:val="0070C0"/>
              </w:rPr>
              <w:t xml:space="preserve"> are not looking for challenging roles</w:t>
            </w:r>
            <w:r w:rsidR="00F656D5" w:rsidRPr="0017605B">
              <w:rPr>
                <w:rFonts w:ascii="Segoe UI" w:hAnsi="Segoe UI" w:cs="Segoe UI"/>
                <w:color w:val="0070C0"/>
              </w:rPr>
              <w:t xml:space="preserve">, or willing to </w:t>
            </w:r>
            <w:r w:rsidR="0017605B" w:rsidRPr="0017605B">
              <w:rPr>
                <w:rFonts w:ascii="Segoe UI" w:hAnsi="Segoe UI" w:cs="Segoe UI"/>
                <w:color w:val="0070C0"/>
              </w:rPr>
              <w:t xml:space="preserve">travel or </w:t>
            </w:r>
            <w:r w:rsidR="0017605B">
              <w:rPr>
                <w:rFonts w:ascii="Segoe UI" w:hAnsi="Segoe UI" w:cs="Segoe UI"/>
                <w:color w:val="0070C0"/>
              </w:rPr>
              <w:t>t</w:t>
            </w:r>
            <w:r w:rsidR="0017605B">
              <w:rPr>
                <w:color w:val="0070C0"/>
              </w:rPr>
              <w:t xml:space="preserve">o </w:t>
            </w:r>
            <w:r w:rsidR="0017605B" w:rsidRPr="0017605B">
              <w:rPr>
                <w:rFonts w:ascii="Segoe UI" w:hAnsi="Segoe UI" w:cs="Segoe UI"/>
                <w:color w:val="0070C0"/>
              </w:rPr>
              <w:t>move</w:t>
            </w:r>
            <w:r w:rsidRPr="00A9540C">
              <w:rPr>
                <w:rFonts w:ascii="Segoe UI" w:hAnsi="Segoe UI" w:cs="Segoe UI"/>
                <w:color w:val="0070C0"/>
              </w:rPr>
              <w:t xml:space="preserve"> </w:t>
            </w:r>
          </w:p>
          <w:p w14:paraId="0930D40F" w14:textId="243A13BA" w:rsidR="000C15F5" w:rsidRPr="00A9540C" w:rsidRDefault="000C15F5" w:rsidP="00006B84">
            <w:pPr>
              <w:pStyle w:val="ListParagraph"/>
              <w:numPr>
                <w:ilvl w:val="0"/>
                <w:numId w:val="3"/>
              </w:numPr>
              <w:rPr>
                <w:rFonts w:ascii="Segoe UI" w:hAnsi="Segoe UI" w:cs="Segoe UI"/>
                <w:color w:val="0070C0"/>
              </w:rPr>
            </w:pPr>
            <w:r w:rsidRPr="00A9540C">
              <w:rPr>
                <w:rFonts w:ascii="Segoe UI" w:hAnsi="Segoe UI" w:cs="Segoe UI"/>
                <w:color w:val="0070C0"/>
              </w:rPr>
              <w:t xml:space="preserve">Cultural competency </w:t>
            </w:r>
            <w:r w:rsidR="008807EF" w:rsidRPr="00A9540C">
              <w:rPr>
                <w:rFonts w:ascii="Segoe UI" w:hAnsi="Segoe UI" w:cs="Segoe UI"/>
                <w:color w:val="0070C0"/>
              </w:rPr>
              <w:t xml:space="preserve">training </w:t>
            </w:r>
            <w:r w:rsidRPr="00A9540C">
              <w:rPr>
                <w:rFonts w:ascii="Segoe UI" w:hAnsi="Segoe UI" w:cs="Segoe UI"/>
                <w:color w:val="0070C0"/>
              </w:rPr>
              <w:t>should include an understanding of cultural norms relating to authority and negotiation and appropriate meeting protocols</w:t>
            </w:r>
          </w:p>
          <w:p w14:paraId="69129FB9" w14:textId="6D479937" w:rsidR="005B1F08" w:rsidRPr="000C15F5" w:rsidRDefault="005C1C2D" w:rsidP="000C15F5">
            <w:pPr>
              <w:pStyle w:val="ListParagraph"/>
              <w:numPr>
                <w:ilvl w:val="0"/>
                <w:numId w:val="3"/>
              </w:numPr>
              <w:ind w:left="313"/>
              <w:rPr>
                <w:rFonts w:ascii="Segoe UI" w:hAnsi="Segoe UI" w:cs="Segoe UI"/>
              </w:rPr>
            </w:pPr>
            <w:r w:rsidRPr="00A9540C">
              <w:rPr>
                <w:rFonts w:ascii="Segoe UI" w:hAnsi="Segoe UI" w:cs="Segoe UI"/>
              </w:rPr>
              <w:lastRenderedPageBreak/>
              <w:t>Currently</w:t>
            </w:r>
            <w:r w:rsidR="0070304F" w:rsidRPr="00A9540C">
              <w:rPr>
                <w:rFonts w:ascii="Segoe UI" w:hAnsi="Segoe UI" w:cs="Segoe UI"/>
              </w:rPr>
              <w:t>,</w:t>
            </w:r>
            <w:r w:rsidRPr="00A9540C">
              <w:rPr>
                <w:rFonts w:ascii="Segoe UI" w:hAnsi="Segoe UI" w:cs="Segoe UI"/>
              </w:rPr>
              <w:t xml:space="preserve"> training</w:t>
            </w:r>
            <w:r w:rsidR="000C15F5" w:rsidRPr="00A9540C">
              <w:rPr>
                <w:rFonts w:ascii="Segoe UI" w:hAnsi="Segoe UI" w:cs="Segoe UI"/>
              </w:rPr>
              <w:t xml:space="preserve"> in inclusive</w:t>
            </w:r>
            <w:r w:rsidR="000C15F5" w:rsidRPr="000C15F5">
              <w:rPr>
                <w:rFonts w:ascii="Segoe UI" w:hAnsi="Segoe UI" w:cs="Segoe UI"/>
              </w:rPr>
              <w:t xml:space="preserve"> best practice recruitment is available thro</w:t>
            </w:r>
            <w:r w:rsidRPr="000C15F5">
              <w:rPr>
                <w:rFonts w:ascii="Segoe UI" w:hAnsi="Segoe UI" w:cs="Segoe UI"/>
              </w:rPr>
              <w:t xml:space="preserve">ugh the Equity Office. </w:t>
            </w:r>
          </w:p>
          <w:p w14:paraId="2AC4B93F" w14:textId="053AF952" w:rsidR="00006B84" w:rsidRDefault="008807EF" w:rsidP="000C15F5">
            <w:pPr>
              <w:pStyle w:val="ListParagraph"/>
              <w:numPr>
                <w:ilvl w:val="0"/>
                <w:numId w:val="3"/>
              </w:numPr>
              <w:ind w:left="313"/>
              <w:rPr>
                <w:rFonts w:ascii="Segoe UI" w:hAnsi="Segoe UI" w:cs="Segoe UI"/>
              </w:rPr>
            </w:pPr>
            <w:r>
              <w:rPr>
                <w:rFonts w:ascii="Segoe UI" w:hAnsi="Segoe UI" w:cs="Segoe UI"/>
              </w:rPr>
              <w:t>Training is also available on mitigating u</w:t>
            </w:r>
            <w:r w:rsidR="00661583" w:rsidRPr="000C15F5">
              <w:rPr>
                <w:rFonts w:ascii="Segoe UI" w:hAnsi="Segoe UI" w:cs="Segoe UI"/>
              </w:rPr>
              <w:t>nconscious bias</w:t>
            </w:r>
            <w:r>
              <w:rPr>
                <w:rFonts w:ascii="Segoe UI" w:hAnsi="Segoe UI" w:cs="Segoe UI"/>
              </w:rPr>
              <w:t>.</w:t>
            </w:r>
            <w:r w:rsidR="00661583" w:rsidRPr="000C15F5">
              <w:rPr>
                <w:rFonts w:ascii="Segoe UI" w:hAnsi="Segoe UI" w:cs="Segoe UI"/>
              </w:rPr>
              <w:t xml:space="preserve"> </w:t>
            </w:r>
            <w:r w:rsidR="00006B84" w:rsidRPr="000C15F5">
              <w:rPr>
                <w:rFonts w:ascii="Segoe UI" w:hAnsi="Segoe UI" w:cs="Segoe UI"/>
              </w:rPr>
              <w:t xml:space="preserve">Contact the </w:t>
            </w:r>
            <w:hyperlink r:id="rId22" w:history="1">
              <w:r w:rsidR="00006B84" w:rsidRPr="000C15F5">
                <w:rPr>
                  <w:rStyle w:val="Hyperlink"/>
                  <w:rFonts w:ascii="Segoe UI" w:hAnsi="Segoe UI" w:cs="Segoe UI"/>
                  <w:color w:val="005499"/>
                  <w:shd w:val="clear" w:color="auto" w:fill="FFFFFF"/>
                </w:rPr>
                <w:t>Equity Office</w:t>
              </w:r>
            </w:hyperlink>
            <w:r w:rsidR="00006B84" w:rsidRPr="000C15F5">
              <w:rPr>
                <w:rFonts w:ascii="Segoe UI" w:hAnsi="Segoe UI" w:cs="Segoe UI"/>
              </w:rPr>
              <w:t xml:space="preserve"> or enrol in </w:t>
            </w:r>
            <w:hyperlink r:id="rId23" w:anchor="t=3" w:history="1">
              <w:r w:rsidR="00006B84" w:rsidRPr="000C15F5">
                <w:rPr>
                  <w:rStyle w:val="Hyperlink"/>
                  <w:rFonts w:ascii="Segoe UI" w:hAnsi="Segoe UI" w:cs="Segoe UI"/>
                </w:rPr>
                <w:t>Working with Unconscious Bias</w:t>
              </w:r>
            </w:hyperlink>
            <w:r w:rsidR="00006B84" w:rsidRPr="000C15F5">
              <w:rPr>
                <w:rFonts w:ascii="Segoe UI" w:hAnsi="Segoe UI" w:cs="Segoe UI"/>
              </w:rPr>
              <w:t xml:space="preserve"> </w:t>
            </w:r>
          </w:p>
          <w:p w14:paraId="6C0CA6F1" w14:textId="77777777" w:rsidR="00FB76E6" w:rsidRPr="00FB76E6" w:rsidRDefault="00FB76E6" w:rsidP="00FB76E6">
            <w:pPr>
              <w:pStyle w:val="FootnoteText"/>
              <w:numPr>
                <w:ilvl w:val="0"/>
                <w:numId w:val="3"/>
              </w:numPr>
              <w:ind w:left="312"/>
              <w:rPr>
                <w:sz w:val="22"/>
                <w:szCs w:val="22"/>
              </w:rPr>
            </w:pPr>
            <w:r w:rsidRPr="00FB76E6">
              <w:rPr>
                <w:sz w:val="22"/>
                <w:szCs w:val="22"/>
              </w:rPr>
              <w:t xml:space="preserve">See also </w:t>
            </w:r>
            <w:hyperlink r:id="rId24" w:history="1">
              <w:r w:rsidRPr="00FB76E6">
                <w:rPr>
                  <w:rStyle w:val="Hyperlink"/>
                  <w:sz w:val="22"/>
                  <w:szCs w:val="22"/>
                </w:rPr>
                <w:t>Ohio State University Implicit Bias Resources</w:t>
              </w:r>
            </w:hyperlink>
            <w:r w:rsidRPr="00FB76E6">
              <w:rPr>
                <w:sz w:val="22"/>
                <w:szCs w:val="22"/>
              </w:rPr>
              <w:t xml:space="preserve"> </w:t>
            </w:r>
          </w:p>
          <w:p w14:paraId="343D38F7" w14:textId="77777777" w:rsidR="00EB3DE1" w:rsidRPr="000C15F5" w:rsidRDefault="00EB3DE1" w:rsidP="00EB3DE1">
            <w:pPr>
              <w:rPr>
                <w:b/>
                <w:bCs/>
                <w:color w:val="auto"/>
              </w:rPr>
            </w:pPr>
          </w:p>
          <w:p w14:paraId="43E1C517" w14:textId="5B5703E4" w:rsidR="00EB3DE1" w:rsidRPr="000C15F5" w:rsidRDefault="00EB3DE1" w:rsidP="00EB3DE1">
            <w:pPr>
              <w:rPr>
                <w:b/>
                <w:bCs/>
                <w:color w:val="auto"/>
              </w:rPr>
            </w:pPr>
            <w:r w:rsidRPr="000C15F5">
              <w:rPr>
                <w:b/>
                <w:bCs/>
                <w:color w:val="auto"/>
              </w:rPr>
              <w:t>Research</w:t>
            </w:r>
          </w:p>
          <w:p w14:paraId="579DA8BF" w14:textId="4C353CF7" w:rsidR="00EB3DE1" w:rsidRPr="000C15F5" w:rsidRDefault="00EB3DE1" w:rsidP="0018437D">
            <w:pPr>
              <w:pStyle w:val="ListParagraph"/>
              <w:numPr>
                <w:ilvl w:val="0"/>
                <w:numId w:val="6"/>
              </w:numPr>
              <w:rPr>
                <w:rFonts w:ascii="Segoe UI" w:hAnsi="Segoe UI" w:cs="Segoe UI"/>
                <w:color w:val="0070C0"/>
              </w:rPr>
            </w:pPr>
            <w:r w:rsidRPr="000C15F5">
              <w:rPr>
                <w:rFonts w:ascii="Segoe UI" w:hAnsi="Segoe UI" w:cs="Segoe UI"/>
                <w:color w:val="0070C0"/>
              </w:rPr>
              <w:t>An Australian study of Victorian public service HR and recruitment personnel found a significant increase</w:t>
            </w:r>
            <w:r w:rsidR="005C1C2D" w:rsidRPr="000C15F5">
              <w:rPr>
                <w:rFonts w:ascii="Segoe UI" w:hAnsi="Segoe UI" w:cs="Segoe UI"/>
                <w:color w:val="0070C0"/>
              </w:rPr>
              <w:t xml:space="preserve"> in</w:t>
            </w:r>
            <w:r w:rsidRPr="000C15F5">
              <w:rPr>
                <w:rFonts w:ascii="Segoe UI" w:hAnsi="Segoe UI" w:cs="Segoe UI"/>
                <w:color w:val="0070C0"/>
              </w:rPr>
              <w:t xml:space="preserve"> reported self-efficacy and intentions regarding diversity following intervention with unconscious bias training</w:t>
            </w:r>
            <w:r w:rsidRPr="000C15F5">
              <w:rPr>
                <w:rStyle w:val="FootnoteReference"/>
                <w:rFonts w:ascii="Segoe UI" w:hAnsi="Segoe UI" w:cs="Segoe UI"/>
                <w:color w:val="0070C0"/>
              </w:rPr>
              <w:footnoteReference w:id="6"/>
            </w:r>
          </w:p>
          <w:p w14:paraId="32A4BD07" w14:textId="6930B11A" w:rsidR="00006B84" w:rsidRPr="000C15F5" w:rsidRDefault="0018437D" w:rsidP="0018437D">
            <w:pPr>
              <w:pStyle w:val="ListParagraph"/>
              <w:numPr>
                <w:ilvl w:val="0"/>
                <w:numId w:val="6"/>
              </w:numPr>
              <w:rPr>
                <w:rFonts w:ascii="Segoe UI" w:hAnsi="Segoe UI" w:cs="Segoe UI"/>
                <w:color w:val="0070C0"/>
              </w:rPr>
            </w:pPr>
            <w:r w:rsidRPr="000C15F5">
              <w:rPr>
                <w:rFonts w:ascii="Segoe UI" w:hAnsi="Segoe UI" w:cs="Segoe UI"/>
                <w:color w:val="0070C0"/>
              </w:rPr>
              <w:t>An intervention</w:t>
            </w:r>
            <w:r w:rsidR="00552164">
              <w:rPr>
                <w:rFonts w:ascii="Segoe UI" w:hAnsi="Segoe UI" w:cs="Segoe UI"/>
                <w:color w:val="0070C0"/>
              </w:rPr>
              <w:t xml:space="preserve"> to reduce bias</w:t>
            </w:r>
            <w:r w:rsidRPr="000C15F5">
              <w:rPr>
                <w:rFonts w:ascii="Segoe UI" w:hAnsi="Segoe UI" w:cs="Segoe UI"/>
                <w:color w:val="0070C0"/>
              </w:rPr>
              <w:t xml:space="preserve"> with STEM faculty </w:t>
            </w:r>
            <w:r w:rsidR="00552164">
              <w:rPr>
                <w:rFonts w:ascii="Segoe UI" w:hAnsi="Segoe UI" w:cs="Segoe UI"/>
                <w:color w:val="0070C0"/>
              </w:rPr>
              <w:t xml:space="preserve">at the </w:t>
            </w:r>
            <w:r w:rsidR="00552164" w:rsidRPr="00552164">
              <w:rPr>
                <w:rFonts w:ascii="Segoe UI" w:hAnsi="Segoe UI" w:cs="Segoe UI"/>
                <w:color w:val="0070C0"/>
                <w:shd w:val="clear" w:color="auto" w:fill="FFFFFF"/>
              </w:rPr>
              <w:t xml:space="preserve">University of Wisconsin-Madison </w:t>
            </w:r>
            <w:r w:rsidRPr="000C15F5">
              <w:rPr>
                <w:rFonts w:ascii="Segoe UI" w:hAnsi="Segoe UI" w:cs="Segoe UI"/>
                <w:color w:val="0070C0"/>
              </w:rPr>
              <w:t>found both immediate and sustained increase in self-efficacy to engage in gender equity-promoting behaviours</w:t>
            </w:r>
            <w:r w:rsidRPr="000C15F5">
              <w:rPr>
                <w:rStyle w:val="FootnoteReference"/>
                <w:rFonts w:ascii="Segoe UI" w:hAnsi="Segoe UI" w:cs="Segoe UI"/>
                <w:color w:val="0070C0"/>
              </w:rPr>
              <w:footnoteReference w:id="7"/>
            </w:r>
          </w:p>
          <w:p w14:paraId="7ACA7216" w14:textId="08B8BFDA" w:rsidR="0018437D" w:rsidRPr="00643C06" w:rsidRDefault="0018437D" w:rsidP="00643C06"/>
        </w:tc>
      </w:tr>
    </w:tbl>
    <w:p w14:paraId="268E7C1D" w14:textId="77777777" w:rsidR="005B1F08" w:rsidRPr="005B1F08" w:rsidRDefault="005B1F08" w:rsidP="00643C06"/>
    <w:sectPr w:rsidR="005B1F08" w:rsidRPr="005B1F08">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2CFA3C" w14:textId="77777777" w:rsidR="00877BBF" w:rsidRDefault="00877BBF" w:rsidP="00877BBF">
      <w:pPr>
        <w:spacing w:after="0" w:line="240" w:lineRule="auto"/>
      </w:pPr>
      <w:r>
        <w:separator/>
      </w:r>
    </w:p>
  </w:endnote>
  <w:endnote w:type="continuationSeparator" w:id="0">
    <w:p w14:paraId="76104F60" w14:textId="77777777" w:rsidR="00877BBF" w:rsidRDefault="00877BBF" w:rsidP="00877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B5942" w14:textId="77777777" w:rsidR="00460E85" w:rsidRDefault="00460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4787B" w14:textId="15E09B7E" w:rsidR="00460E85" w:rsidRDefault="009704BA">
    <w:pPr>
      <w:pStyle w:val="Footer"/>
    </w:pPr>
    <w:r>
      <w:t xml:space="preserve">University of Auckland </w:t>
    </w:r>
    <w:r w:rsidR="00460E85">
      <w:t>Equity Office 2021</w:t>
    </w:r>
  </w:p>
  <w:p w14:paraId="4C950D37" w14:textId="77777777" w:rsidR="00460E85" w:rsidRDefault="00460E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EF58B" w14:textId="77777777" w:rsidR="00460E85" w:rsidRDefault="00460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99F6CB" w14:textId="77777777" w:rsidR="00877BBF" w:rsidRDefault="00877BBF" w:rsidP="00877BBF">
      <w:pPr>
        <w:spacing w:after="0" w:line="240" w:lineRule="auto"/>
      </w:pPr>
      <w:r>
        <w:separator/>
      </w:r>
    </w:p>
  </w:footnote>
  <w:footnote w:type="continuationSeparator" w:id="0">
    <w:p w14:paraId="0C6D2603" w14:textId="77777777" w:rsidR="00877BBF" w:rsidRDefault="00877BBF" w:rsidP="00877BBF">
      <w:pPr>
        <w:spacing w:after="0" w:line="240" w:lineRule="auto"/>
      </w:pPr>
      <w:r>
        <w:continuationSeparator/>
      </w:r>
    </w:p>
  </w:footnote>
  <w:footnote w:id="1">
    <w:p w14:paraId="3997D557" w14:textId="07112973" w:rsidR="00291E5E" w:rsidRPr="00291E5E" w:rsidRDefault="00291E5E">
      <w:pPr>
        <w:pStyle w:val="FootnoteText"/>
        <w:rPr>
          <w:sz w:val="16"/>
          <w:szCs w:val="16"/>
          <w:lang w:val="en-US"/>
        </w:rPr>
      </w:pPr>
      <w:r>
        <w:rPr>
          <w:rStyle w:val="FootnoteReference"/>
        </w:rPr>
        <w:footnoteRef/>
      </w:r>
      <w:r>
        <w:t xml:space="preserve"> </w:t>
      </w:r>
      <w:hyperlink r:id="rId1" w:history="1">
        <w:r w:rsidRPr="00291E5E">
          <w:rPr>
            <w:rStyle w:val="Hyperlink"/>
            <w:sz w:val="16"/>
            <w:szCs w:val="16"/>
          </w:rPr>
          <w:t>Moss-</w:t>
        </w:r>
        <w:proofErr w:type="spellStart"/>
        <w:r w:rsidRPr="00291E5E">
          <w:rPr>
            <w:rStyle w:val="Hyperlink"/>
            <w:sz w:val="16"/>
            <w:szCs w:val="16"/>
          </w:rPr>
          <w:t>Racusin</w:t>
        </w:r>
        <w:proofErr w:type="spellEnd"/>
        <w:r w:rsidRPr="00291E5E">
          <w:rPr>
            <w:rStyle w:val="Hyperlink"/>
            <w:sz w:val="16"/>
            <w:szCs w:val="16"/>
          </w:rPr>
          <w:t xml:space="preserve"> et al. 2012</w:t>
        </w:r>
      </w:hyperlink>
    </w:p>
  </w:footnote>
  <w:footnote w:id="2">
    <w:p w14:paraId="1914E870" w14:textId="3187B459" w:rsidR="00877BBF" w:rsidRPr="00F656D5" w:rsidRDefault="00877BBF">
      <w:pPr>
        <w:pStyle w:val="FootnoteText"/>
        <w:rPr>
          <w:sz w:val="16"/>
          <w:szCs w:val="16"/>
        </w:rPr>
      </w:pPr>
      <w:r w:rsidRPr="00291E5E">
        <w:rPr>
          <w:rStyle w:val="FootnoteReference"/>
          <w:sz w:val="16"/>
          <w:szCs w:val="16"/>
        </w:rPr>
        <w:footnoteRef/>
      </w:r>
      <w:r w:rsidRPr="00291E5E">
        <w:rPr>
          <w:sz w:val="16"/>
          <w:szCs w:val="16"/>
        </w:rPr>
        <w:t xml:space="preserve"> </w:t>
      </w:r>
      <w:hyperlink r:id="rId2" w:history="1">
        <w:r w:rsidRPr="00291E5E">
          <w:rPr>
            <w:rStyle w:val="Hyperlink"/>
            <w:sz w:val="16"/>
            <w:szCs w:val="16"/>
          </w:rPr>
          <w:t>Murphy, Steele &amp; Gross, 2007</w:t>
        </w:r>
      </w:hyperlink>
      <w:r w:rsidRPr="00291E5E">
        <w:rPr>
          <w:sz w:val="16"/>
          <w:szCs w:val="16"/>
        </w:rPr>
        <w:t xml:space="preserve"> </w:t>
      </w:r>
    </w:p>
  </w:footnote>
  <w:footnote w:id="3">
    <w:p w14:paraId="06F4A9E9" w14:textId="4BF3FFFC" w:rsidR="00F656D5" w:rsidRDefault="00F656D5">
      <w:pPr>
        <w:pStyle w:val="FootnoteText"/>
      </w:pPr>
      <w:r w:rsidRPr="00F656D5">
        <w:rPr>
          <w:rStyle w:val="FootnoteReference"/>
          <w:sz w:val="16"/>
          <w:szCs w:val="16"/>
        </w:rPr>
        <w:footnoteRef/>
      </w:r>
      <w:r w:rsidRPr="00F656D5">
        <w:rPr>
          <w:sz w:val="16"/>
          <w:szCs w:val="16"/>
        </w:rPr>
        <w:t xml:space="preserve"> </w:t>
      </w:r>
      <w:hyperlink r:id="rId3" w:history="1">
        <w:r w:rsidRPr="00F656D5">
          <w:rPr>
            <w:rStyle w:val="Hyperlink"/>
            <w:sz w:val="16"/>
            <w:szCs w:val="16"/>
          </w:rPr>
          <w:t>Recruitment Guidance NZ Government</w:t>
        </w:r>
      </w:hyperlink>
    </w:p>
    <w:p w14:paraId="47AC06C6" w14:textId="77777777" w:rsidR="00F656D5" w:rsidRDefault="00F656D5">
      <w:pPr>
        <w:pStyle w:val="FootnoteText"/>
      </w:pPr>
    </w:p>
  </w:footnote>
  <w:footnote w:id="4">
    <w:p w14:paraId="256D1651" w14:textId="274164FC" w:rsidR="00552164" w:rsidRPr="00552164" w:rsidRDefault="00552164" w:rsidP="00552164">
      <w:pPr>
        <w:rPr>
          <w:sz w:val="16"/>
          <w:szCs w:val="16"/>
        </w:rPr>
      </w:pPr>
      <w:r w:rsidRPr="00552164">
        <w:rPr>
          <w:rStyle w:val="FootnoteReference"/>
          <w:sz w:val="16"/>
          <w:szCs w:val="16"/>
        </w:rPr>
        <w:footnoteRef/>
      </w:r>
      <w:r w:rsidRPr="00552164">
        <w:rPr>
          <w:sz w:val="16"/>
          <w:szCs w:val="16"/>
        </w:rPr>
        <w:t xml:space="preserve"> </w:t>
      </w:r>
      <w:hyperlink r:id="rId4" w:history="1">
        <w:r w:rsidRPr="00552164">
          <w:rPr>
            <w:rStyle w:val="Hyperlink"/>
            <w:sz w:val="16"/>
            <w:szCs w:val="16"/>
          </w:rPr>
          <w:t>Recruitment, Selection and Appointment Policy</w:t>
        </w:r>
      </w:hyperlink>
    </w:p>
  </w:footnote>
  <w:footnote w:id="5">
    <w:p w14:paraId="44080D5B" w14:textId="77777777" w:rsidR="009208D9" w:rsidRDefault="009208D9" w:rsidP="009208D9">
      <w:pPr>
        <w:pStyle w:val="FootnoteText"/>
        <w:rPr>
          <w:sz w:val="16"/>
          <w:szCs w:val="16"/>
          <w:lang w:val="mi-NZ"/>
        </w:rPr>
      </w:pPr>
      <w:r>
        <w:rPr>
          <w:rStyle w:val="FootnoteReference"/>
          <w:sz w:val="16"/>
          <w:szCs w:val="16"/>
        </w:rPr>
        <w:footnoteRef/>
      </w:r>
      <w:r>
        <w:rPr>
          <w:sz w:val="16"/>
          <w:szCs w:val="16"/>
        </w:rPr>
        <w:t xml:space="preserve"> </w:t>
      </w:r>
      <w:hyperlink r:id="rId5" w:history="1">
        <w:r>
          <w:rPr>
            <w:rStyle w:val="Hyperlink"/>
            <w:sz w:val="16"/>
            <w:szCs w:val="16"/>
          </w:rPr>
          <w:t>Recruitment Guidance</w:t>
        </w:r>
      </w:hyperlink>
      <w:r>
        <w:rPr>
          <w:sz w:val="16"/>
          <w:szCs w:val="16"/>
        </w:rPr>
        <w:t xml:space="preserve"> Public Service Commission 2019</w:t>
      </w:r>
    </w:p>
  </w:footnote>
  <w:footnote w:id="6">
    <w:p w14:paraId="0305ECEC" w14:textId="0F861859" w:rsidR="00EB3DE1" w:rsidRPr="00EB3DE1" w:rsidRDefault="00EB3DE1">
      <w:pPr>
        <w:pStyle w:val="FootnoteText"/>
        <w:rPr>
          <w:lang w:val="en-US"/>
        </w:rPr>
      </w:pPr>
      <w:r w:rsidRPr="00552164">
        <w:rPr>
          <w:rStyle w:val="FootnoteReference"/>
          <w:sz w:val="16"/>
          <w:szCs w:val="16"/>
        </w:rPr>
        <w:footnoteRef/>
      </w:r>
      <w:r w:rsidRPr="00552164">
        <w:rPr>
          <w:sz w:val="16"/>
          <w:szCs w:val="16"/>
        </w:rPr>
        <w:t xml:space="preserve"> Recruit Smarter: Technical Report, Victorian Government, Melbourne </w:t>
      </w:r>
      <w:r w:rsidRPr="00552164">
        <w:rPr>
          <w:b/>
          <w:bCs/>
          <w:color w:val="212121"/>
          <w:sz w:val="16"/>
          <w:szCs w:val="16"/>
        </w:rPr>
        <w:t xml:space="preserve">Technical Report </w:t>
      </w:r>
      <w:r w:rsidRPr="00552164">
        <w:rPr>
          <w:color w:val="323232"/>
          <w:sz w:val="16"/>
          <w:szCs w:val="16"/>
        </w:rPr>
        <w:t>· October 2018</w:t>
      </w:r>
    </w:p>
  </w:footnote>
  <w:footnote w:id="7">
    <w:p w14:paraId="13505364" w14:textId="428F6445" w:rsidR="0018437D" w:rsidRPr="0018437D" w:rsidRDefault="0018437D">
      <w:pPr>
        <w:pStyle w:val="FootnoteText"/>
        <w:rPr>
          <w:lang w:val="en-US"/>
        </w:rPr>
      </w:pPr>
      <w:r>
        <w:rPr>
          <w:rStyle w:val="FootnoteReference"/>
        </w:rPr>
        <w:footnoteRef/>
      </w:r>
      <w:r>
        <w:t xml:space="preserve"> </w:t>
      </w:r>
      <w:hyperlink r:id="rId6" w:history="1">
        <w:r w:rsidRPr="0018437D">
          <w:rPr>
            <w:rStyle w:val="Hyperlink"/>
            <w:sz w:val="16"/>
            <w:szCs w:val="16"/>
          </w:rPr>
          <w:t>Carnes et al. 2015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7B2D7" w14:textId="77777777" w:rsidR="00460E85" w:rsidRDefault="00460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785660" w14:textId="55C8CEBF" w:rsidR="00460E85" w:rsidRPr="00460E85" w:rsidRDefault="00460E85" w:rsidP="00460E85">
    <w:pPr>
      <w:pStyle w:val="Header"/>
    </w:pPr>
    <w:r>
      <w:tab/>
    </w:r>
    <w:r>
      <w:tab/>
    </w:r>
    <w:r>
      <w:rPr>
        <w:noProof/>
      </w:rPr>
      <w:drawing>
        <wp:inline distT="0" distB="0" distL="0" distR="0" wp14:anchorId="744CF3A0" wp14:editId="714F5B88">
          <wp:extent cx="1426433" cy="477795"/>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445506" cy="48418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D0AA4" w14:textId="77777777" w:rsidR="00460E85" w:rsidRDefault="00460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42A82"/>
    <w:multiLevelType w:val="hybridMultilevel"/>
    <w:tmpl w:val="CD70F8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4B7332B"/>
    <w:multiLevelType w:val="hybridMultilevel"/>
    <w:tmpl w:val="5D70EF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FEB0ACD"/>
    <w:multiLevelType w:val="hybridMultilevel"/>
    <w:tmpl w:val="1D023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48B6608"/>
    <w:multiLevelType w:val="hybridMultilevel"/>
    <w:tmpl w:val="07F21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593E6E"/>
    <w:multiLevelType w:val="hybridMultilevel"/>
    <w:tmpl w:val="C7DA73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73915674"/>
    <w:multiLevelType w:val="hybridMultilevel"/>
    <w:tmpl w:val="D8027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F36272"/>
    <w:multiLevelType w:val="hybridMultilevel"/>
    <w:tmpl w:val="EDBCE568"/>
    <w:lvl w:ilvl="0" w:tplc="04090001">
      <w:start w:val="1"/>
      <w:numFmt w:val="bullet"/>
      <w:lvlText w:val=""/>
      <w:lvlJc w:val="left"/>
      <w:pPr>
        <w:ind w:left="679" w:hanging="360"/>
      </w:pPr>
      <w:rPr>
        <w:rFonts w:ascii="Symbol" w:hAnsi="Symbol" w:hint="default"/>
      </w:rPr>
    </w:lvl>
    <w:lvl w:ilvl="1" w:tplc="04090003" w:tentative="1">
      <w:start w:val="1"/>
      <w:numFmt w:val="bullet"/>
      <w:lvlText w:val="o"/>
      <w:lvlJc w:val="left"/>
      <w:pPr>
        <w:ind w:left="1399" w:hanging="360"/>
      </w:pPr>
      <w:rPr>
        <w:rFonts w:ascii="Courier New" w:hAnsi="Courier New" w:cs="Courier New" w:hint="default"/>
      </w:rPr>
    </w:lvl>
    <w:lvl w:ilvl="2" w:tplc="04090005" w:tentative="1">
      <w:start w:val="1"/>
      <w:numFmt w:val="bullet"/>
      <w:lvlText w:val=""/>
      <w:lvlJc w:val="left"/>
      <w:pPr>
        <w:ind w:left="2119" w:hanging="360"/>
      </w:pPr>
      <w:rPr>
        <w:rFonts w:ascii="Wingdings" w:hAnsi="Wingdings" w:hint="default"/>
      </w:rPr>
    </w:lvl>
    <w:lvl w:ilvl="3" w:tplc="04090001" w:tentative="1">
      <w:start w:val="1"/>
      <w:numFmt w:val="bullet"/>
      <w:lvlText w:val=""/>
      <w:lvlJc w:val="left"/>
      <w:pPr>
        <w:ind w:left="2839" w:hanging="360"/>
      </w:pPr>
      <w:rPr>
        <w:rFonts w:ascii="Symbol" w:hAnsi="Symbol" w:hint="default"/>
      </w:rPr>
    </w:lvl>
    <w:lvl w:ilvl="4" w:tplc="04090003" w:tentative="1">
      <w:start w:val="1"/>
      <w:numFmt w:val="bullet"/>
      <w:lvlText w:val="o"/>
      <w:lvlJc w:val="left"/>
      <w:pPr>
        <w:ind w:left="3559" w:hanging="360"/>
      </w:pPr>
      <w:rPr>
        <w:rFonts w:ascii="Courier New" w:hAnsi="Courier New" w:cs="Courier New" w:hint="default"/>
      </w:rPr>
    </w:lvl>
    <w:lvl w:ilvl="5" w:tplc="04090005" w:tentative="1">
      <w:start w:val="1"/>
      <w:numFmt w:val="bullet"/>
      <w:lvlText w:val=""/>
      <w:lvlJc w:val="left"/>
      <w:pPr>
        <w:ind w:left="4279" w:hanging="360"/>
      </w:pPr>
      <w:rPr>
        <w:rFonts w:ascii="Wingdings" w:hAnsi="Wingdings" w:hint="default"/>
      </w:rPr>
    </w:lvl>
    <w:lvl w:ilvl="6" w:tplc="04090001" w:tentative="1">
      <w:start w:val="1"/>
      <w:numFmt w:val="bullet"/>
      <w:lvlText w:val=""/>
      <w:lvlJc w:val="left"/>
      <w:pPr>
        <w:ind w:left="4999" w:hanging="360"/>
      </w:pPr>
      <w:rPr>
        <w:rFonts w:ascii="Symbol" w:hAnsi="Symbol" w:hint="default"/>
      </w:rPr>
    </w:lvl>
    <w:lvl w:ilvl="7" w:tplc="04090003" w:tentative="1">
      <w:start w:val="1"/>
      <w:numFmt w:val="bullet"/>
      <w:lvlText w:val="o"/>
      <w:lvlJc w:val="left"/>
      <w:pPr>
        <w:ind w:left="5719" w:hanging="360"/>
      </w:pPr>
      <w:rPr>
        <w:rFonts w:ascii="Courier New" w:hAnsi="Courier New" w:cs="Courier New" w:hint="default"/>
      </w:rPr>
    </w:lvl>
    <w:lvl w:ilvl="8" w:tplc="04090005" w:tentative="1">
      <w:start w:val="1"/>
      <w:numFmt w:val="bullet"/>
      <w:lvlText w:val=""/>
      <w:lvlJc w:val="left"/>
      <w:pPr>
        <w:ind w:left="6439" w:hanging="360"/>
      </w:pPr>
      <w:rPr>
        <w:rFonts w:ascii="Wingdings" w:hAnsi="Wingdings" w:hint="default"/>
      </w:rPr>
    </w:lvl>
  </w:abstractNum>
  <w:abstractNum w:abstractNumId="7" w15:restartNumberingAfterBreak="0">
    <w:nsid w:val="77E42AE1"/>
    <w:multiLevelType w:val="hybridMultilevel"/>
    <w:tmpl w:val="617085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2"/>
  </w:num>
  <w:num w:numId="5">
    <w:abstractNumId w:val="5"/>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08"/>
    <w:rsid w:val="00005F12"/>
    <w:rsid w:val="00006B84"/>
    <w:rsid w:val="000104F1"/>
    <w:rsid w:val="00012A35"/>
    <w:rsid w:val="000136D5"/>
    <w:rsid w:val="0003428A"/>
    <w:rsid w:val="0004118C"/>
    <w:rsid w:val="000432FC"/>
    <w:rsid w:val="000534D5"/>
    <w:rsid w:val="0005498E"/>
    <w:rsid w:val="00063B17"/>
    <w:rsid w:val="00082EE3"/>
    <w:rsid w:val="00092D0F"/>
    <w:rsid w:val="000B071C"/>
    <w:rsid w:val="000B2509"/>
    <w:rsid w:val="000B3248"/>
    <w:rsid w:val="000C007F"/>
    <w:rsid w:val="000C15F5"/>
    <w:rsid w:val="000C4DCA"/>
    <w:rsid w:val="000C6A3A"/>
    <w:rsid w:val="000D6462"/>
    <w:rsid w:val="000E0347"/>
    <w:rsid w:val="000E3D5F"/>
    <w:rsid w:val="000E4FDB"/>
    <w:rsid w:val="000F7902"/>
    <w:rsid w:val="00102F38"/>
    <w:rsid w:val="001060BD"/>
    <w:rsid w:val="00121A2E"/>
    <w:rsid w:val="00123C88"/>
    <w:rsid w:val="00125C79"/>
    <w:rsid w:val="00126DBB"/>
    <w:rsid w:val="001411FD"/>
    <w:rsid w:val="00141B1C"/>
    <w:rsid w:val="00142A01"/>
    <w:rsid w:val="00151E7F"/>
    <w:rsid w:val="00154B49"/>
    <w:rsid w:val="001579A0"/>
    <w:rsid w:val="001658CD"/>
    <w:rsid w:val="0017085B"/>
    <w:rsid w:val="001709FA"/>
    <w:rsid w:val="00172323"/>
    <w:rsid w:val="0017605B"/>
    <w:rsid w:val="001814E9"/>
    <w:rsid w:val="00182BB4"/>
    <w:rsid w:val="001834BF"/>
    <w:rsid w:val="0018437D"/>
    <w:rsid w:val="001850AC"/>
    <w:rsid w:val="00186152"/>
    <w:rsid w:val="001866B9"/>
    <w:rsid w:val="001866D2"/>
    <w:rsid w:val="001904C2"/>
    <w:rsid w:val="001A1797"/>
    <w:rsid w:val="001B2313"/>
    <w:rsid w:val="001E2229"/>
    <w:rsid w:val="001E404C"/>
    <w:rsid w:val="001F0E2A"/>
    <w:rsid w:val="001F25BC"/>
    <w:rsid w:val="001F2AC3"/>
    <w:rsid w:val="001F59B4"/>
    <w:rsid w:val="001F7CA1"/>
    <w:rsid w:val="00203687"/>
    <w:rsid w:val="00207107"/>
    <w:rsid w:val="00207CF0"/>
    <w:rsid w:val="002136E0"/>
    <w:rsid w:val="00220C2C"/>
    <w:rsid w:val="00221235"/>
    <w:rsid w:val="00223289"/>
    <w:rsid w:val="002235FE"/>
    <w:rsid w:val="00224E64"/>
    <w:rsid w:val="00227C37"/>
    <w:rsid w:val="002344C2"/>
    <w:rsid w:val="00245D57"/>
    <w:rsid w:val="0024796F"/>
    <w:rsid w:val="00257BDF"/>
    <w:rsid w:val="002608EE"/>
    <w:rsid w:val="00277D15"/>
    <w:rsid w:val="00281B9D"/>
    <w:rsid w:val="00291E5E"/>
    <w:rsid w:val="0029318F"/>
    <w:rsid w:val="00294736"/>
    <w:rsid w:val="002A528E"/>
    <w:rsid w:val="002B29D5"/>
    <w:rsid w:val="002B5FB9"/>
    <w:rsid w:val="002C74B9"/>
    <w:rsid w:val="002D3229"/>
    <w:rsid w:val="002D3CB0"/>
    <w:rsid w:val="002D4873"/>
    <w:rsid w:val="002D6DB2"/>
    <w:rsid w:val="002E63ED"/>
    <w:rsid w:val="002E68CB"/>
    <w:rsid w:val="002F5606"/>
    <w:rsid w:val="00301FC2"/>
    <w:rsid w:val="00307315"/>
    <w:rsid w:val="00314A6D"/>
    <w:rsid w:val="0032195F"/>
    <w:rsid w:val="00336725"/>
    <w:rsid w:val="003429CA"/>
    <w:rsid w:val="003430AB"/>
    <w:rsid w:val="003447BB"/>
    <w:rsid w:val="003511CD"/>
    <w:rsid w:val="00351598"/>
    <w:rsid w:val="00355614"/>
    <w:rsid w:val="00361D19"/>
    <w:rsid w:val="00362A82"/>
    <w:rsid w:val="00372B29"/>
    <w:rsid w:val="00373268"/>
    <w:rsid w:val="00383A11"/>
    <w:rsid w:val="00384F58"/>
    <w:rsid w:val="003866E5"/>
    <w:rsid w:val="003911A5"/>
    <w:rsid w:val="0039493F"/>
    <w:rsid w:val="00395624"/>
    <w:rsid w:val="003A3C98"/>
    <w:rsid w:val="003B186E"/>
    <w:rsid w:val="003B2B0E"/>
    <w:rsid w:val="003B6C2F"/>
    <w:rsid w:val="003C1E66"/>
    <w:rsid w:val="003C2BC9"/>
    <w:rsid w:val="003C66B4"/>
    <w:rsid w:val="003D46B2"/>
    <w:rsid w:val="003D77D4"/>
    <w:rsid w:val="003E12F5"/>
    <w:rsid w:val="003E46BC"/>
    <w:rsid w:val="003E47E6"/>
    <w:rsid w:val="003E5036"/>
    <w:rsid w:val="003E7FE0"/>
    <w:rsid w:val="003F4A25"/>
    <w:rsid w:val="00403504"/>
    <w:rsid w:val="004038AA"/>
    <w:rsid w:val="004051DD"/>
    <w:rsid w:val="00414B51"/>
    <w:rsid w:val="00425C9C"/>
    <w:rsid w:val="00442037"/>
    <w:rsid w:val="0044226D"/>
    <w:rsid w:val="00451CED"/>
    <w:rsid w:val="00460E85"/>
    <w:rsid w:val="00467D15"/>
    <w:rsid w:val="00475C10"/>
    <w:rsid w:val="00476E57"/>
    <w:rsid w:val="00480C41"/>
    <w:rsid w:val="00481619"/>
    <w:rsid w:val="00487232"/>
    <w:rsid w:val="004872B0"/>
    <w:rsid w:val="004933DA"/>
    <w:rsid w:val="00496DB8"/>
    <w:rsid w:val="004A2AD3"/>
    <w:rsid w:val="004B2015"/>
    <w:rsid w:val="004C54E2"/>
    <w:rsid w:val="004C7C26"/>
    <w:rsid w:val="004D031D"/>
    <w:rsid w:val="004D06D8"/>
    <w:rsid w:val="004D2FDD"/>
    <w:rsid w:val="004D3F36"/>
    <w:rsid w:val="004D5222"/>
    <w:rsid w:val="004D788B"/>
    <w:rsid w:val="004E1774"/>
    <w:rsid w:val="004F24D5"/>
    <w:rsid w:val="004F39AD"/>
    <w:rsid w:val="004F44F5"/>
    <w:rsid w:val="0050155A"/>
    <w:rsid w:val="00507025"/>
    <w:rsid w:val="005239E3"/>
    <w:rsid w:val="0052451E"/>
    <w:rsid w:val="00527621"/>
    <w:rsid w:val="0053230E"/>
    <w:rsid w:val="00532C77"/>
    <w:rsid w:val="00537A6A"/>
    <w:rsid w:val="00541CBA"/>
    <w:rsid w:val="00541E13"/>
    <w:rsid w:val="00544694"/>
    <w:rsid w:val="00551112"/>
    <w:rsid w:val="00552164"/>
    <w:rsid w:val="00560ABD"/>
    <w:rsid w:val="00564D82"/>
    <w:rsid w:val="00566595"/>
    <w:rsid w:val="00570584"/>
    <w:rsid w:val="0057619F"/>
    <w:rsid w:val="00584D48"/>
    <w:rsid w:val="005A72ED"/>
    <w:rsid w:val="005B1F08"/>
    <w:rsid w:val="005B3AF5"/>
    <w:rsid w:val="005C1C2D"/>
    <w:rsid w:val="005C45C8"/>
    <w:rsid w:val="005C50CF"/>
    <w:rsid w:val="005E00F9"/>
    <w:rsid w:val="005E77CA"/>
    <w:rsid w:val="005F6F5F"/>
    <w:rsid w:val="006030C5"/>
    <w:rsid w:val="00625A5B"/>
    <w:rsid w:val="00626CC3"/>
    <w:rsid w:val="00637521"/>
    <w:rsid w:val="00640148"/>
    <w:rsid w:val="00643C06"/>
    <w:rsid w:val="006510AC"/>
    <w:rsid w:val="00660871"/>
    <w:rsid w:val="00661583"/>
    <w:rsid w:val="00665848"/>
    <w:rsid w:val="00666629"/>
    <w:rsid w:val="00675CDE"/>
    <w:rsid w:val="00685C01"/>
    <w:rsid w:val="00687FA2"/>
    <w:rsid w:val="00697D36"/>
    <w:rsid w:val="006C4451"/>
    <w:rsid w:val="006C4692"/>
    <w:rsid w:val="006D3635"/>
    <w:rsid w:val="006D487B"/>
    <w:rsid w:val="006E5B6A"/>
    <w:rsid w:val="006F1B37"/>
    <w:rsid w:val="006F6DDC"/>
    <w:rsid w:val="006F7FC5"/>
    <w:rsid w:val="0070304F"/>
    <w:rsid w:val="00704A72"/>
    <w:rsid w:val="00707C57"/>
    <w:rsid w:val="00714FE0"/>
    <w:rsid w:val="00722CBD"/>
    <w:rsid w:val="00722EC8"/>
    <w:rsid w:val="00724D70"/>
    <w:rsid w:val="00731ECB"/>
    <w:rsid w:val="00753D94"/>
    <w:rsid w:val="00784BCC"/>
    <w:rsid w:val="0078577B"/>
    <w:rsid w:val="00786C59"/>
    <w:rsid w:val="00787F13"/>
    <w:rsid w:val="007933CE"/>
    <w:rsid w:val="007955C7"/>
    <w:rsid w:val="007C68F4"/>
    <w:rsid w:val="007D20C4"/>
    <w:rsid w:val="007D5D14"/>
    <w:rsid w:val="007E010D"/>
    <w:rsid w:val="007F49F5"/>
    <w:rsid w:val="00812C1F"/>
    <w:rsid w:val="008223BF"/>
    <w:rsid w:val="008424ED"/>
    <w:rsid w:val="00870B50"/>
    <w:rsid w:val="00874408"/>
    <w:rsid w:val="00874F97"/>
    <w:rsid w:val="00877BBF"/>
    <w:rsid w:val="00877FD9"/>
    <w:rsid w:val="008807EF"/>
    <w:rsid w:val="008810B0"/>
    <w:rsid w:val="00882FAE"/>
    <w:rsid w:val="008866FB"/>
    <w:rsid w:val="00887D23"/>
    <w:rsid w:val="008915A2"/>
    <w:rsid w:val="008A2F6D"/>
    <w:rsid w:val="008D2337"/>
    <w:rsid w:val="008D6FC7"/>
    <w:rsid w:val="008D7A2D"/>
    <w:rsid w:val="008E140D"/>
    <w:rsid w:val="008E3282"/>
    <w:rsid w:val="008F1DF8"/>
    <w:rsid w:val="008F5E40"/>
    <w:rsid w:val="008F64F1"/>
    <w:rsid w:val="00904524"/>
    <w:rsid w:val="009208D9"/>
    <w:rsid w:val="00930B59"/>
    <w:rsid w:val="00935B26"/>
    <w:rsid w:val="00937654"/>
    <w:rsid w:val="00942CF1"/>
    <w:rsid w:val="0094503D"/>
    <w:rsid w:val="0094682F"/>
    <w:rsid w:val="00956837"/>
    <w:rsid w:val="009704BA"/>
    <w:rsid w:val="00986EC9"/>
    <w:rsid w:val="009A02D4"/>
    <w:rsid w:val="009A0A32"/>
    <w:rsid w:val="009A2557"/>
    <w:rsid w:val="009A6FEC"/>
    <w:rsid w:val="009C6981"/>
    <w:rsid w:val="009D2104"/>
    <w:rsid w:val="009D38DB"/>
    <w:rsid w:val="009D5466"/>
    <w:rsid w:val="009D6CE1"/>
    <w:rsid w:val="009E2B0D"/>
    <w:rsid w:val="009E318E"/>
    <w:rsid w:val="009E45E3"/>
    <w:rsid w:val="00A0045E"/>
    <w:rsid w:val="00A04529"/>
    <w:rsid w:val="00A12F11"/>
    <w:rsid w:val="00A16BF3"/>
    <w:rsid w:val="00A2734D"/>
    <w:rsid w:val="00A30469"/>
    <w:rsid w:val="00A50AD3"/>
    <w:rsid w:val="00A57850"/>
    <w:rsid w:val="00A66377"/>
    <w:rsid w:val="00A732ED"/>
    <w:rsid w:val="00A74159"/>
    <w:rsid w:val="00A74C00"/>
    <w:rsid w:val="00A75362"/>
    <w:rsid w:val="00A84A11"/>
    <w:rsid w:val="00A91887"/>
    <w:rsid w:val="00A9540C"/>
    <w:rsid w:val="00AA35D1"/>
    <w:rsid w:val="00AB3CFC"/>
    <w:rsid w:val="00AB7424"/>
    <w:rsid w:val="00AC27DA"/>
    <w:rsid w:val="00AD0AA5"/>
    <w:rsid w:val="00AD79A7"/>
    <w:rsid w:val="00AE77EA"/>
    <w:rsid w:val="00AF1721"/>
    <w:rsid w:val="00AF176D"/>
    <w:rsid w:val="00AF39CE"/>
    <w:rsid w:val="00B0024F"/>
    <w:rsid w:val="00B013DD"/>
    <w:rsid w:val="00B20867"/>
    <w:rsid w:val="00B20FBB"/>
    <w:rsid w:val="00B25808"/>
    <w:rsid w:val="00B25A50"/>
    <w:rsid w:val="00B374B6"/>
    <w:rsid w:val="00B57E3D"/>
    <w:rsid w:val="00B6057C"/>
    <w:rsid w:val="00B674A2"/>
    <w:rsid w:val="00B973EA"/>
    <w:rsid w:val="00BA2820"/>
    <w:rsid w:val="00BA3B06"/>
    <w:rsid w:val="00BA67F1"/>
    <w:rsid w:val="00BC130E"/>
    <w:rsid w:val="00BC6F7B"/>
    <w:rsid w:val="00BD39BF"/>
    <w:rsid w:val="00BD7806"/>
    <w:rsid w:val="00BE0CDB"/>
    <w:rsid w:val="00BE2260"/>
    <w:rsid w:val="00BE2E8B"/>
    <w:rsid w:val="00BF003E"/>
    <w:rsid w:val="00C12E40"/>
    <w:rsid w:val="00C30148"/>
    <w:rsid w:val="00C35844"/>
    <w:rsid w:val="00C513CA"/>
    <w:rsid w:val="00C665EC"/>
    <w:rsid w:val="00C90362"/>
    <w:rsid w:val="00C97C20"/>
    <w:rsid w:val="00CA2ECB"/>
    <w:rsid w:val="00CA3A8C"/>
    <w:rsid w:val="00CB0322"/>
    <w:rsid w:val="00CC091E"/>
    <w:rsid w:val="00CD0E38"/>
    <w:rsid w:val="00CD2ABA"/>
    <w:rsid w:val="00CE178D"/>
    <w:rsid w:val="00CE4578"/>
    <w:rsid w:val="00CF24D0"/>
    <w:rsid w:val="00D00723"/>
    <w:rsid w:val="00D03F66"/>
    <w:rsid w:val="00D04450"/>
    <w:rsid w:val="00D15AB6"/>
    <w:rsid w:val="00D20038"/>
    <w:rsid w:val="00D2637B"/>
    <w:rsid w:val="00D60FC9"/>
    <w:rsid w:val="00D6293C"/>
    <w:rsid w:val="00D651EF"/>
    <w:rsid w:val="00D70232"/>
    <w:rsid w:val="00D719E6"/>
    <w:rsid w:val="00D75698"/>
    <w:rsid w:val="00D81D6D"/>
    <w:rsid w:val="00D8367A"/>
    <w:rsid w:val="00D94AD1"/>
    <w:rsid w:val="00DA05EA"/>
    <w:rsid w:val="00DA277A"/>
    <w:rsid w:val="00DB2C55"/>
    <w:rsid w:val="00DB35FD"/>
    <w:rsid w:val="00DB3DB1"/>
    <w:rsid w:val="00DC09B3"/>
    <w:rsid w:val="00DC45CD"/>
    <w:rsid w:val="00DD15FE"/>
    <w:rsid w:val="00DD1DD8"/>
    <w:rsid w:val="00DD518B"/>
    <w:rsid w:val="00DD7E16"/>
    <w:rsid w:val="00DE114B"/>
    <w:rsid w:val="00DE1A89"/>
    <w:rsid w:val="00DE2427"/>
    <w:rsid w:val="00E1477D"/>
    <w:rsid w:val="00E26009"/>
    <w:rsid w:val="00E34DCF"/>
    <w:rsid w:val="00E431D4"/>
    <w:rsid w:val="00E52466"/>
    <w:rsid w:val="00E71C91"/>
    <w:rsid w:val="00E76426"/>
    <w:rsid w:val="00E85EA0"/>
    <w:rsid w:val="00EA0DB2"/>
    <w:rsid w:val="00EA4319"/>
    <w:rsid w:val="00EA5FCA"/>
    <w:rsid w:val="00EB1745"/>
    <w:rsid w:val="00EB2180"/>
    <w:rsid w:val="00EB2933"/>
    <w:rsid w:val="00EB3DE1"/>
    <w:rsid w:val="00EB4FA2"/>
    <w:rsid w:val="00EC30CE"/>
    <w:rsid w:val="00EC6CAE"/>
    <w:rsid w:val="00ED7E78"/>
    <w:rsid w:val="00EE1AF6"/>
    <w:rsid w:val="00EE3AEA"/>
    <w:rsid w:val="00EF0BAC"/>
    <w:rsid w:val="00EF23F7"/>
    <w:rsid w:val="00EF36BC"/>
    <w:rsid w:val="00EF56AE"/>
    <w:rsid w:val="00EF6F53"/>
    <w:rsid w:val="00F13F8A"/>
    <w:rsid w:val="00F1683B"/>
    <w:rsid w:val="00F17913"/>
    <w:rsid w:val="00F20002"/>
    <w:rsid w:val="00F21C77"/>
    <w:rsid w:val="00F232E1"/>
    <w:rsid w:val="00F26CAB"/>
    <w:rsid w:val="00F2722E"/>
    <w:rsid w:val="00F272A0"/>
    <w:rsid w:val="00F36965"/>
    <w:rsid w:val="00F41532"/>
    <w:rsid w:val="00F551CF"/>
    <w:rsid w:val="00F61148"/>
    <w:rsid w:val="00F656D5"/>
    <w:rsid w:val="00F70A62"/>
    <w:rsid w:val="00F731FE"/>
    <w:rsid w:val="00F73DD0"/>
    <w:rsid w:val="00F843C6"/>
    <w:rsid w:val="00F850D2"/>
    <w:rsid w:val="00F918DC"/>
    <w:rsid w:val="00FB3D67"/>
    <w:rsid w:val="00FB76E6"/>
    <w:rsid w:val="00FC573E"/>
    <w:rsid w:val="00FD01EE"/>
    <w:rsid w:val="00FD2EA7"/>
    <w:rsid w:val="00FE7C8E"/>
    <w:rsid w:val="00FF6F3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A47B7C0"/>
  <w15:chartTrackingRefBased/>
  <w15:docId w15:val="{98DE42C6-E20F-42C1-912A-579FEB8E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Segoe UI"/>
        <w:color w:val="4A4C4C"/>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15"/>
  </w:style>
  <w:style w:type="paragraph" w:styleId="Heading1">
    <w:name w:val="heading 1"/>
    <w:basedOn w:val="Normal"/>
    <w:next w:val="Normal"/>
    <w:link w:val="Heading1Char"/>
    <w:uiPriority w:val="9"/>
    <w:qFormat/>
    <w:rsid w:val="005B1F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B1F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1F0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B1F08"/>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5B1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1F08"/>
    <w:rPr>
      <w:color w:val="0563C1" w:themeColor="hyperlink"/>
      <w:u w:val="single"/>
    </w:rPr>
  </w:style>
  <w:style w:type="paragraph" w:styleId="ListParagraph">
    <w:name w:val="List Paragraph"/>
    <w:basedOn w:val="Normal"/>
    <w:uiPriority w:val="34"/>
    <w:qFormat/>
    <w:rsid w:val="005B1F08"/>
    <w:pPr>
      <w:ind w:left="720"/>
      <w:contextualSpacing/>
    </w:pPr>
    <w:rPr>
      <w:rFonts w:ascii="Verdana" w:hAnsi="Verdana" w:cstheme="minorBidi"/>
      <w:color w:val="auto"/>
    </w:rPr>
  </w:style>
  <w:style w:type="paragraph" w:styleId="FootnoteText">
    <w:name w:val="footnote text"/>
    <w:basedOn w:val="Normal"/>
    <w:link w:val="FootnoteTextChar"/>
    <w:uiPriority w:val="99"/>
    <w:semiHidden/>
    <w:unhideWhenUsed/>
    <w:rsid w:val="00877B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77BBF"/>
    <w:rPr>
      <w:sz w:val="20"/>
      <w:szCs w:val="20"/>
    </w:rPr>
  </w:style>
  <w:style w:type="character" w:styleId="FootnoteReference">
    <w:name w:val="footnote reference"/>
    <w:basedOn w:val="DefaultParagraphFont"/>
    <w:uiPriority w:val="99"/>
    <w:semiHidden/>
    <w:unhideWhenUsed/>
    <w:rsid w:val="00877BBF"/>
    <w:rPr>
      <w:vertAlign w:val="superscript"/>
    </w:rPr>
  </w:style>
  <w:style w:type="character" w:styleId="FollowedHyperlink">
    <w:name w:val="FollowedHyperlink"/>
    <w:basedOn w:val="DefaultParagraphFont"/>
    <w:uiPriority w:val="99"/>
    <w:semiHidden/>
    <w:unhideWhenUsed/>
    <w:rsid w:val="00291E5E"/>
    <w:rPr>
      <w:color w:val="954F72" w:themeColor="followedHyperlink"/>
      <w:u w:val="single"/>
    </w:rPr>
  </w:style>
  <w:style w:type="character" w:styleId="UnresolvedMention">
    <w:name w:val="Unresolved Mention"/>
    <w:basedOn w:val="DefaultParagraphFont"/>
    <w:uiPriority w:val="99"/>
    <w:semiHidden/>
    <w:unhideWhenUsed/>
    <w:rsid w:val="00006B84"/>
    <w:rPr>
      <w:color w:val="605E5C"/>
      <w:shd w:val="clear" w:color="auto" w:fill="E1DFDD"/>
    </w:rPr>
  </w:style>
  <w:style w:type="paragraph" w:styleId="Header">
    <w:name w:val="header"/>
    <w:basedOn w:val="Normal"/>
    <w:link w:val="HeaderChar"/>
    <w:uiPriority w:val="99"/>
    <w:unhideWhenUsed/>
    <w:rsid w:val="00460E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0E85"/>
  </w:style>
  <w:style w:type="paragraph" w:styleId="Footer">
    <w:name w:val="footer"/>
    <w:basedOn w:val="Normal"/>
    <w:link w:val="FooterChar"/>
    <w:uiPriority w:val="99"/>
    <w:unhideWhenUsed/>
    <w:rsid w:val="00460E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022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kland.ac.nz/en/about/the-university/how-university-works/policy-and-administration/human-resources1/recruitment--appointment-and-induction/academic-staff-recruitment--selection-and-appointment-procedures.html" TargetMode="External"/><Relationship Id="rId13" Type="http://schemas.openxmlformats.org/officeDocument/2006/relationships/hyperlink" Target="https://www.auckland.ac.nz/en/about/eo-equity-office/eo-information-for-staff/equity-in-recruitment--selection-and-appointment.html" TargetMode="External"/><Relationship Id="rId18" Type="http://schemas.openxmlformats.org/officeDocument/2006/relationships/hyperlink" Target="http://www.legislation.govt.nz/act/public/1993/0028/latest/DLM296639.htm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auckland.ac.nz/en/about-us/about-the-university/equity-at-the-university/about-equity/plans--policies--guidelines-and-the-law.html" TargetMode="External"/><Relationship Id="rId7" Type="http://schemas.openxmlformats.org/officeDocument/2006/relationships/endnotes" Target="endnotes.xml"/><Relationship Id="rId12" Type="http://schemas.openxmlformats.org/officeDocument/2006/relationships/hyperlink" Target="https://www.auckland.ac.nz/en/about/the-university/how-university-works/policy-and-administration/human-resources1/recruitment--appointment-and-induction/recruitment--selection-and-appointment-policy-.html" TargetMode="External"/><Relationship Id="rId17" Type="http://schemas.openxmlformats.org/officeDocument/2006/relationships/hyperlink" Target="https://www.staff.auckland.ac.nz/en/how-the-university-works/performance-and-risk-management/conflict-of-interest.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uckland.ac.nz/en/about/the-university/how-university-works/policy-and-administration/human-resources1/employer-and-employee-responsibilities/flexible-work-policy-and-procedures-.html" TargetMode="External"/><Relationship Id="rId20" Type="http://schemas.openxmlformats.org/officeDocument/2006/relationships/hyperlink" Target="https://www.legislation.govt.nz/act/public/1988/0020/latest/DLM129110.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kland.ac.nz/en/about-us/about-the-university/equity-at-the-university/about-equity/plans--policies--guidelines-and-the-law.html" TargetMode="External"/><Relationship Id="rId24" Type="http://schemas.openxmlformats.org/officeDocument/2006/relationships/hyperlink" Target="https://womensplace.osu.edu/resources/implicit-bias-resources"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auckland.ac.nz/en/about/the-university/how-university-works/policy-and-administration/equity/merit-relative-to-opportunity-policy-and-procedures-.html" TargetMode="External"/><Relationship Id="rId23" Type="http://schemas.openxmlformats.org/officeDocument/2006/relationships/hyperlink" Target="https://uoa.csod.com/LMS/LoDetails/DetailsLo.aspx?loid=b8cfaced-1abb-4de4-bb49-325c835cd151&amp;query=%3Fs%3D%26q%3Dunconscious%2520Bias&amp;back_key=1" TargetMode="External"/><Relationship Id="rId28" Type="http://schemas.openxmlformats.org/officeDocument/2006/relationships/footer" Target="footer2.xml"/><Relationship Id="rId10" Type="http://schemas.openxmlformats.org/officeDocument/2006/relationships/hyperlink" Target="https://www.auckland.ac.nz/en/about/the-university/how-university-works/policy-and-administration/equity/equity-policy-and-procedures-.html" TargetMode="External"/><Relationship Id="rId19" Type="http://schemas.openxmlformats.org/officeDocument/2006/relationships/hyperlink" Target="https://www.hrc.co.nz/abou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uckland.ac.nz/en/about/the-university/how-university-works/policy-and-administration/human-resources1/recruitment--appointment-and-induction/internal-recruitment---professional-staff-recruitment-policy-and.html" TargetMode="External"/><Relationship Id="rId14" Type="http://schemas.openxmlformats.org/officeDocument/2006/relationships/hyperlink" Target="https://www.auckland.ac.nz/en/about/eo-equity-office/eo-information-for-staff/equity-in-recruitment--selection-and-appointment.html" TargetMode="External"/><Relationship Id="rId22" Type="http://schemas.openxmlformats.org/officeDocument/2006/relationships/hyperlink" Target="mailto:equity@auckland.ac.nz"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publicservice.govt.nz/assets/SSC-Site-Assets/Workforce-and-Talent-Management/Implementing-the-Gender-Pay-Principles-and-removing-gender-bias-in-recruitment-processes.pdf" TargetMode="External"/><Relationship Id="rId2" Type="http://schemas.openxmlformats.org/officeDocument/2006/relationships/hyperlink" Target="Murphy,%20Steele%20&amp;%20Gross,%202007" TargetMode="External"/><Relationship Id="rId1" Type="http://schemas.openxmlformats.org/officeDocument/2006/relationships/hyperlink" Target="https://www.pnas.org/content/109/41/16474" TargetMode="External"/><Relationship Id="rId6" Type="http://schemas.openxmlformats.org/officeDocument/2006/relationships/hyperlink" Target="https://pubmed.ncbi.nlm.nih.gov/25374039/" TargetMode="External"/><Relationship Id="rId5" Type="http://schemas.openxmlformats.org/officeDocument/2006/relationships/hyperlink" Target="https://www.publicservice.govt.nz/assets/SSC-Site-Assets/Workforce-and-Talent-Management/Implementing-the-Gender-Pay-Principles-and-removing-gender-bias-in-recruitment-processes.pdf" TargetMode="External"/><Relationship Id="rId4" Type="http://schemas.openxmlformats.org/officeDocument/2006/relationships/hyperlink" Target="https://www.auckland.ac.nz/en/about/the-university/how-university-works/policy-and-administration/human-resources1/recruitment--appointment-and-induction/recruitment--selection-and-appointment-policy-.htm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spec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D99C-2C1B-4691-980C-33AB6770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3</Pages>
  <Words>1063</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Cathie</dc:creator>
  <cp:keywords/>
  <dc:description/>
  <cp:lastModifiedBy>Cathie Walsh</cp:lastModifiedBy>
  <cp:revision>20</cp:revision>
  <dcterms:created xsi:type="dcterms:W3CDTF">2020-07-20T21:17:00Z</dcterms:created>
  <dcterms:modified xsi:type="dcterms:W3CDTF">2021-08-26T03:51:00Z</dcterms:modified>
</cp:coreProperties>
</file>