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4AC12" w14:textId="77777777" w:rsidR="004A1550" w:rsidRPr="00B475A8" w:rsidRDefault="004A1550" w:rsidP="00B475A8">
      <w:pPr>
        <w:pStyle w:val="Heading1"/>
      </w:pPr>
      <w:r w:rsidRPr="00B475A8">
        <w:t>Step 5: Attracting candidates</w:t>
      </w:r>
    </w:p>
    <w:p w14:paraId="463ECC07" w14:textId="77777777" w:rsidR="00AC750C" w:rsidRPr="00441A26" w:rsidRDefault="00AC750C" w:rsidP="004A1550">
      <w:pPr>
        <w:pStyle w:val="Heading3"/>
        <w:rPr>
          <w:rFonts w:ascii="Segoe UI" w:hAnsi="Segoe UI" w:cs="Segoe UI"/>
          <w:sz w:val="22"/>
          <w:szCs w:val="22"/>
        </w:rPr>
      </w:pPr>
    </w:p>
    <w:p w14:paraId="69FA18C9" w14:textId="7225FC3C" w:rsidR="004A1550" w:rsidRPr="00441A26" w:rsidRDefault="00AC750C" w:rsidP="00B475A8">
      <w:pPr>
        <w:pStyle w:val="Heading2"/>
      </w:pPr>
      <w:r w:rsidRPr="00441A26">
        <w:t xml:space="preserve">5.1 </w:t>
      </w:r>
      <w:r w:rsidR="004A1550" w:rsidRPr="00441A26">
        <w:t>Writing the advertisement</w:t>
      </w:r>
    </w:p>
    <w:tbl>
      <w:tblPr>
        <w:tblStyle w:val="TableGrid"/>
        <w:tblW w:w="0" w:type="auto"/>
        <w:tblLook w:val="04A0" w:firstRow="1" w:lastRow="0" w:firstColumn="1" w:lastColumn="0" w:noHBand="0" w:noVBand="1"/>
      </w:tblPr>
      <w:tblGrid>
        <w:gridCol w:w="2972"/>
        <w:gridCol w:w="6044"/>
      </w:tblGrid>
      <w:tr w:rsidR="004A1550" w:rsidRPr="00441A26" w14:paraId="1DAF7784" w14:textId="77777777" w:rsidTr="004A1550">
        <w:tc>
          <w:tcPr>
            <w:tcW w:w="2972" w:type="dxa"/>
            <w:shd w:val="clear" w:color="auto" w:fill="D9D9D9" w:themeFill="background1" w:themeFillShade="D9"/>
          </w:tcPr>
          <w:p w14:paraId="4B468E8C" w14:textId="7DC35EAF" w:rsidR="004A1550" w:rsidRPr="00441A26" w:rsidRDefault="004A1550">
            <w:pPr>
              <w:rPr>
                <w:b/>
                <w:bCs/>
              </w:rPr>
            </w:pPr>
            <w:r w:rsidRPr="00441A26">
              <w:rPr>
                <w:b/>
                <w:bCs/>
              </w:rPr>
              <w:t>Recommendation</w:t>
            </w:r>
          </w:p>
        </w:tc>
        <w:tc>
          <w:tcPr>
            <w:tcW w:w="6044" w:type="dxa"/>
            <w:shd w:val="clear" w:color="auto" w:fill="D9D9D9" w:themeFill="background1" w:themeFillShade="D9"/>
          </w:tcPr>
          <w:p w14:paraId="05C9EB77" w14:textId="136E6CD8" w:rsidR="004A1550" w:rsidRPr="00441A26" w:rsidRDefault="00B475A8">
            <w:pPr>
              <w:rPr>
                <w:b/>
                <w:bCs/>
              </w:rPr>
            </w:pPr>
            <w:r>
              <w:rPr>
                <w:b/>
                <w:bCs/>
              </w:rPr>
              <w:t xml:space="preserve">Considerations and </w:t>
            </w:r>
            <w:r w:rsidR="004A1550" w:rsidRPr="00441A26">
              <w:rPr>
                <w:b/>
                <w:bCs/>
              </w:rPr>
              <w:t>Actions</w:t>
            </w:r>
          </w:p>
          <w:p w14:paraId="6CD760F5" w14:textId="15BCC478" w:rsidR="004A1550" w:rsidRPr="00441A26" w:rsidRDefault="004A1550">
            <w:pPr>
              <w:rPr>
                <w:b/>
                <w:bCs/>
              </w:rPr>
            </w:pPr>
          </w:p>
        </w:tc>
      </w:tr>
      <w:tr w:rsidR="00B4176C" w:rsidRPr="00441A26" w14:paraId="03FB54D9" w14:textId="77777777" w:rsidTr="004A1550">
        <w:tc>
          <w:tcPr>
            <w:tcW w:w="2972" w:type="dxa"/>
          </w:tcPr>
          <w:p w14:paraId="5186F5E3" w14:textId="2ECF9D01" w:rsidR="00B4176C" w:rsidRPr="00441A26" w:rsidRDefault="00B4176C">
            <w:r w:rsidRPr="00441A26">
              <w:t>Ensure</w:t>
            </w:r>
            <w:r w:rsidR="004C06F6" w:rsidRPr="00441A26">
              <w:t xml:space="preserve"> clarity around role descriptions and that</w:t>
            </w:r>
            <w:r w:rsidRPr="00441A26">
              <w:t xml:space="preserve"> the required criteri</w:t>
            </w:r>
            <w:r w:rsidR="000C1C5A" w:rsidRPr="00441A26">
              <w:t>a</w:t>
            </w:r>
            <w:r w:rsidRPr="00441A26">
              <w:t xml:space="preserve"> </w:t>
            </w:r>
            <w:r w:rsidR="005D00AB" w:rsidRPr="00441A26">
              <w:t>to be</w:t>
            </w:r>
            <w:r w:rsidRPr="00441A26">
              <w:t xml:space="preserve"> </w:t>
            </w:r>
            <w:r w:rsidR="000E1E18" w:rsidRPr="00441A26">
              <w:t>a</w:t>
            </w:r>
            <w:r w:rsidRPr="00441A26">
              <w:t xml:space="preserve">ssessed </w:t>
            </w:r>
            <w:r w:rsidR="000C1C5A" w:rsidRPr="00441A26">
              <w:t xml:space="preserve">are </w:t>
            </w:r>
            <w:r w:rsidRPr="00441A26">
              <w:t>clearly articulated</w:t>
            </w:r>
            <w:r w:rsidR="00994A44" w:rsidRPr="00441A26">
              <w:t xml:space="preserve"> in the job advertisement</w:t>
            </w:r>
            <w:r w:rsidR="0079144C">
              <w:t xml:space="preserve"> while not signalling pre-selection for particular candidates</w:t>
            </w:r>
          </w:p>
          <w:p w14:paraId="39B6B9C3" w14:textId="32014D60" w:rsidR="000C1C5A" w:rsidRPr="00441A26" w:rsidRDefault="000C1C5A"/>
          <w:p w14:paraId="7702260D" w14:textId="0745617D" w:rsidR="000C1C5A" w:rsidRPr="00441A26" w:rsidRDefault="000C1C5A"/>
          <w:p w14:paraId="5AF6B267" w14:textId="7F649A78" w:rsidR="00B4176C" w:rsidRPr="00441A26" w:rsidRDefault="00B4176C"/>
        </w:tc>
        <w:tc>
          <w:tcPr>
            <w:tcW w:w="6044" w:type="dxa"/>
          </w:tcPr>
          <w:p w14:paraId="5641FA9F" w14:textId="3DEB8C88" w:rsidR="001C2C65" w:rsidRPr="00441A26" w:rsidRDefault="001C2C65" w:rsidP="0079144C">
            <w:pPr>
              <w:pStyle w:val="ListParagraph"/>
              <w:numPr>
                <w:ilvl w:val="0"/>
                <w:numId w:val="13"/>
              </w:numPr>
              <w:rPr>
                <w:color w:val="auto"/>
              </w:rPr>
            </w:pPr>
            <w:r w:rsidRPr="00441A26">
              <w:rPr>
                <w:color w:val="auto"/>
              </w:rPr>
              <w:t xml:space="preserve">Avoid generic advertisements, instead specify criteria that are </w:t>
            </w:r>
            <w:r w:rsidRPr="00441A26">
              <w:rPr>
                <w:i/>
                <w:iCs/>
                <w:color w:val="auto"/>
              </w:rPr>
              <w:t>essential</w:t>
            </w:r>
            <w:r w:rsidRPr="00441A26">
              <w:rPr>
                <w:color w:val="auto"/>
              </w:rPr>
              <w:t xml:space="preserve"> for this individual role.</w:t>
            </w:r>
          </w:p>
          <w:p w14:paraId="3C3887C5" w14:textId="77777777" w:rsidR="001C2C65" w:rsidRPr="00CF7482" w:rsidRDefault="001C2C65" w:rsidP="001C2C65">
            <w:pPr>
              <w:rPr>
                <w:b/>
                <w:bCs/>
                <w:color w:val="auto"/>
              </w:rPr>
            </w:pPr>
            <w:r w:rsidRPr="00441A26">
              <w:rPr>
                <w:b/>
                <w:bCs/>
                <w:color w:val="auto"/>
              </w:rPr>
              <w:t>Examples:</w:t>
            </w:r>
          </w:p>
          <w:p w14:paraId="5FBD5A85" w14:textId="75AEEA71" w:rsidR="001C2C65" w:rsidRPr="00CF7482" w:rsidRDefault="00CF7482" w:rsidP="00CF7482">
            <w:pPr>
              <w:pStyle w:val="ListParagraph"/>
              <w:numPr>
                <w:ilvl w:val="1"/>
                <w:numId w:val="13"/>
              </w:numPr>
              <w:rPr>
                <w:color w:val="0070C0"/>
              </w:rPr>
            </w:pPr>
            <w:r w:rsidRPr="00CF7482">
              <w:rPr>
                <w:color w:val="0070C0"/>
              </w:rPr>
              <w:t>”Proven</w:t>
            </w:r>
            <w:r w:rsidR="001C2C65" w:rsidRPr="00CF7482">
              <w:rPr>
                <w:color w:val="0070C0"/>
              </w:rPr>
              <w:t xml:space="preserve"> experience</w:t>
            </w:r>
            <w:r w:rsidR="008F0167" w:rsidRPr="00CF7482">
              <w:rPr>
                <w:color w:val="0070C0"/>
                <w:shd w:val="clear" w:color="auto" w:fill="FFFFFF"/>
              </w:rPr>
              <w:t xml:space="preserve"> in identifying </w:t>
            </w:r>
            <w:r>
              <w:rPr>
                <w:color w:val="0070C0"/>
                <w:shd w:val="clear" w:color="auto" w:fill="FFFFFF"/>
              </w:rPr>
              <w:t xml:space="preserve">project </w:t>
            </w:r>
            <w:r w:rsidR="008F0167" w:rsidRPr="00CF7482">
              <w:rPr>
                <w:color w:val="0070C0"/>
                <w:shd w:val="clear" w:color="auto" w:fill="FFFFFF"/>
              </w:rPr>
              <w:t>risks and working with risk management approaches and mitigation strategies</w:t>
            </w:r>
            <w:r w:rsidR="00CC1418" w:rsidRPr="00CF7482">
              <w:rPr>
                <w:color w:val="0070C0"/>
              </w:rPr>
              <w:t>”</w:t>
            </w:r>
          </w:p>
          <w:p w14:paraId="7E4684DE" w14:textId="611A5AB4" w:rsidR="001C2C65" w:rsidRPr="00CF7482" w:rsidRDefault="001C2C65" w:rsidP="00CF7482">
            <w:pPr>
              <w:pStyle w:val="ListParagraph"/>
              <w:numPr>
                <w:ilvl w:val="1"/>
                <w:numId w:val="13"/>
              </w:numPr>
              <w:rPr>
                <w:color w:val="0070C0"/>
              </w:rPr>
            </w:pPr>
            <w:r w:rsidRPr="00CF7482">
              <w:rPr>
                <w:color w:val="0070C0"/>
              </w:rPr>
              <w:t>“Demonstrated ability to work collaboratively</w:t>
            </w:r>
            <w:r w:rsidR="00CC1418" w:rsidRPr="00CF7482">
              <w:rPr>
                <w:color w:val="0070C0"/>
              </w:rPr>
              <w:t xml:space="preserve"> across varied stakeholder groups</w:t>
            </w:r>
            <w:r w:rsidRPr="00CF7482">
              <w:rPr>
                <w:color w:val="0070C0"/>
              </w:rPr>
              <w:t>”</w:t>
            </w:r>
          </w:p>
          <w:p w14:paraId="72642FB5" w14:textId="710FF0CC" w:rsidR="001C2C65" w:rsidRPr="00CF7482" w:rsidRDefault="001C2C65" w:rsidP="00CF7482">
            <w:pPr>
              <w:pStyle w:val="ListParagraph"/>
              <w:numPr>
                <w:ilvl w:val="1"/>
                <w:numId w:val="13"/>
              </w:numPr>
              <w:rPr>
                <w:color w:val="0070C0"/>
              </w:rPr>
            </w:pPr>
            <w:r w:rsidRPr="00CF7482">
              <w:rPr>
                <w:color w:val="0070C0"/>
              </w:rPr>
              <w:t xml:space="preserve">“Ability to teach </w:t>
            </w:r>
            <w:r w:rsidR="00CC1418" w:rsidRPr="00CF7482">
              <w:rPr>
                <w:color w:val="0070C0"/>
              </w:rPr>
              <w:t>large and diverse student groups</w:t>
            </w:r>
            <w:r w:rsidRPr="00CF7482">
              <w:rPr>
                <w:color w:val="0070C0"/>
              </w:rPr>
              <w:t>”</w:t>
            </w:r>
          </w:p>
          <w:p w14:paraId="0B95B042" w14:textId="19F48AEE" w:rsidR="00CC1418" w:rsidRPr="00CF7482" w:rsidRDefault="00CC1418" w:rsidP="00CF7482">
            <w:pPr>
              <w:pStyle w:val="ListParagraph"/>
              <w:numPr>
                <w:ilvl w:val="1"/>
                <w:numId w:val="13"/>
              </w:numPr>
              <w:rPr>
                <w:color w:val="0070C0"/>
              </w:rPr>
            </w:pPr>
            <w:r w:rsidRPr="00CF7482">
              <w:rPr>
                <w:color w:val="0070C0"/>
              </w:rPr>
              <w:t>“Experience with electronic data capture systems”</w:t>
            </w:r>
          </w:p>
          <w:p w14:paraId="183285C1" w14:textId="77777777" w:rsidR="001C2C65" w:rsidRPr="00441A26" w:rsidRDefault="001C2C65" w:rsidP="001C2C65">
            <w:pPr>
              <w:pStyle w:val="ListParagraph"/>
              <w:ind w:left="740"/>
              <w:rPr>
                <w:color w:val="0070C0"/>
              </w:rPr>
            </w:pPr>
          </w:p>
          <w:p w14:paraId="71732784" w14:textId="217F1F4C" w:rsidR="00994A44" w:rsidRPr="00441A26" w:rsidRDefault="004C06F6" w:rsidP="0079144C">
            <w:pPr>
              <w:pStyle w:val="ListParagraph"/>
              <w:numPr>
                <w:ilvl w:val="0"/>
                <w:numId w:val="13"/>
              </w:numPr>
            </w:pPr>
            <w:r w:rsidRPr="00441A26">
              <w:t>Emphasise</w:t>
            </w:r>
            <w:r w:rsidR="00994A44" w:rsidRPr="00441A26">
              <w:t xml:space="preserve"> the </w:t>
            </w:r>
            <w:r w:rsidR="0013756C" w:rsidRPr="00441A26">
              <w:t xml:space="preserve">essential </w:t>
            </w:r>
            <w:r w:rsidR="00994A44" w:rsidRPr="00441A26">
              <w:t>skills required to perform the tasks</w:t>
            </w:r>
            <w:r w:rsidRPr="00441A26">
              <w:t>; separate out from criteria that may be desirable</w:t>
            </w:r>
          </w:p>
          <w:p w14:paraId="73FC7801" w14:textId="3289B98F" w:rsidR="000C1C5A" w:rsidRPr="00441A26" w:rsidRDefault="000E1E18" w:rsidP="000C1C5A">
            <w:pPr>
              <w:pStyle w:val="Default"/>
              <w:rPr>
                <w:rStyle w:val="A2"/>
                <w:rFonts w:ascii="Segoe UI" w:hAnsi="Segoe UI" w:cs="Segoe UI"/>
                <w:b/>
                <w:bCs/>
                <w:sz w:val="22"/>
                <w:szCs w:val="22"/>
              </w:rPr>
            </w:pPr>
            <w:r w:rsidRPr="00441A26">
              <w:rPr>
                <w:rStyle w:val="A2"/>
                <w:rFonts w:ascii="Segoe UI" w:hAnsi="Segoe UI" w:cs="Segoe UI"/>
                <w:b/>
                <w:bCs/>
                <w:sz w:val="22"/>
                <w:szCs w:val="22"/>
              </w:rPr>
              <w:t>Research</w:t>
            </w:r>
            <w:r w:rsidR="000C1C5A" w:rsidRPr="00441A26">
              <w:rPr>
                <w:rStyle w:val="A2"/>
                <w:rFonts w:ascii="Segoe UI" w:hAnsi="Segoe UI" w:cs="Segoe UI"/>
                <w:b/>
                <w:bCs/>
                <w:sz w:val="22"/>
                <w:szCs w:val="22"/>
              </w:rPr>
              <w:t xml:space="preserve">: </w:t>
            </w:r>
          </w:p>
          <w:p w14:paraId="3794AD09" w14:textId="6081C643" w:rsidR="000C1C5A" w:rsidRDefault="000C1C5A" w:rsidP="000C1C5A">
            <w:pPr>
              <w:pStyle w:val="Default"/>
              <w:ind w:left="456"/>
              <w:rPr>
                <w:rStyle w:val="A2"/>
                <w:rFonts w:ascii="Segoe UI" w:hAnsi="Segoe UI" w:cs="Segoe UI"/>
                <w:color w:val="0070C0"/>
                <w:sz w:val="22"/>
                <w:szCs w:val="22"/>
              </w:rPr>
            </w:pPr>
            <w:r w:rsidRPr="00441A26">
              <w:rPr>
                <w:rStyle w:val="A2"/>
                <w:rFonts w:ascii="Segoe UI" w:hAnsi="Segoe UI" w:cs="Segoe UI"/>
                <w:color w:val="0070C0"/>
                <w:sz w:val="22"/>
                <w:szCs w:val="22"/>
              </w:rPr>
              <w:t>Australian research indicates that advertisements with</w:t>
            </w:r>
            <w:r w:rsidR="0040331A" w:rsidRPr="00441A26">
              <w:rPr>
                <w:rStyle w:val="A2"/>
                <w:rFonts w:ascii="Segoe UI" w:hAnsi="Segoe UI" w:cs="Segoe UI"/>
                <w:color w:val="0070C0"/>
                <w:sz w:val="22"/>
                <w:szCs w:val="22"/>
              </w:rPr>
              <w:t xml:space="preserve"> </w:t>
            </w:r>
            <w:r w:rsidRPr="00441A26">
              <w:rPr>
                <w:rStyle w:val="A2"/>
                <w:rFonts w:ascii="Segoe UI" w:hAnsi="Segoe UI" w:cs="Segoe UI"/>
                <w:color w:val="0070C0"/>
                <w:sz w:val="22"/>
                <w:szCs w:val="22"/>
              </w:rPr>
              <w:t>more than five selection criteria deters applicants, particularly</w:t>
            </w:r>
            <w:r w:rsidR="00B70942">
              <w:rPr>
                <w:rStyle w:val="A2"/>
                <w:rFonts w:ascii="Segoe UI" w:hAnsi="Segoe UI" w:cs="Segoe UI"/>
                <w:color w:val="0070C0"/>
                <w:sz w:val="22"/>
                <w:szCs w:val="22"/>
              </w:rPr>
              <w:t xml:space="preserve"> women</w:t>
            </w:r>
            <w:r w:rsidRPr="00441A26">
              <w:rPr>
                <w:rStyle w:val="A2"/>
                <w:rFonts w:ascii="Segoe UI" w:hAnsi="Segoe UI" w:cs="Segoe UI"/>
                <w:color w:val="0070C0"/>
                <w:sz w:val="22"/>
                <w:szCs w:val="22"/>
              </w:rPr>
              <w:t>.</w:t>
            </w:r>
            <w:r w:rsidRPr="00441A26">
              <w:rPr>
                <w:rStyle w:val="FootnoteReference"/>
                <w:rFonts w:ascii="Segoe UI" w:hAnsi="Segoe UI" w:cs="Segoe UI"/>
                <w:color w:val="0070C0"/>
                <w:sz w:val="22"/>
                <w:szCs w:val="22"/>
              </w:rPr>
              <w:footnoteReference w:id="1"/>
            </w:r>
          </w:p>
          <w:p w14:paraId="3ECC8262" w14:textId="4F9F1457" w:rsidR="0079144C" w:rsidRDefault="0079144C" w:rsidP="000C1C5A">
            <w:pPr>
              <w:pStyle w:val="Default"/>
              <w:ind w:left="456"/>
              <w:rPr>
                <w:rStyle w:val="A2"/>
                <w:color w:val="0070C0"/>
              </w:rPr>
            </w:pPr>
          </w:p>
          <w:p w14:paraId="7DA48DCD" w14:textId="77777777" w:rsidR="0079144C" w:rsidRPr="00441A26" w:rsidRDefault="0079144C" w:rsidP="0079144C">
            <w:pPr>
              <w:pStyle w:val="ListParagraph"/>
              <w:numPr>
                <w:ilvl w:val="0"/>
                <w:numId w:val="13"/>
              </w:numPr>
              <w:rPr>
                <w:color w:val="auto"/>
              </w:rPr>
            </w:pPr>
            <w:r w:rsidRPr="00441A26">
              <w:t>Avoid narrow person descriptions</w:t>
            </w:r>
            <w:r w:rsidRPr="00441A26">
              <w:rPr>
                <w:color w:val="auto"/>
              </w:rPr>
              <w:t xml:space="preserve"> </w:t>
            </w:r>
            <w:r w:rsidRPr="00441A26">
              <w:t>to attract the widest range of applicants</w:t>
            </w:r>
          </w:p>
          <w:p w14:paraId="2B276601" w14:textId="5264E0FE" w:rsidR="0079144C" w:rsidRDefault="0079144C" w:rsidP="0079144C">
            <w:pPr>
              <w:pStyle w:val="ListParagraph"/>
              <w:numPr>
                <w:ilvl w:val="0"/>
                <w:numId w:val="13"/>
              </w:numPr>
            </w:pPr>
            <w:r>
              <w:t>While key criteria to do the job are essential, ensure position profiles are formulated broadly enough that they do not signal pre-selection through specific requirements.</w:t>
            </w:r>
            <w:r>
              <w:rPr>
                <w:rStyle w:val="FootnoteReference"/>
              </w:rPr>
              <w:footnoteReference w:id="2"/>
            </w:r>
          </w:p>
          <w:p w14:paraId="03185881" w14:textId="63CD97BD" w:rsidR="00CF7482" w:rsidRDefault="00CF7482" w:rsidP="00CF7482"/>
          <w:p w14:paraId="61431B34" w14:textId="3324DEDB" w:rsidR="00CF7482" w:rsidRPr="00CF7482" w:rsidRDefault="00CF7482" w:rsidP="00CF7482">
            <w:pPr>
              <w:rPr>
                <w:b/>
                <w:bCs/>
              </w:rPr>
            </w:pPr>
            <w:r w:rsidRPr="00CF7482">
              <w:rPr>
                <w:b/>
                <w:bCs/>
              </w:rPr>
              <w:t>See also Step</w:t>
            </w:r>
            <w:r>
              <w:rPr>
                <w:b/>
                <w:bCs/>
              </w:rPr>
              <w:t>s</w:t>
            </w:r>
            <w:r w:rsidRPr="00CF7482">
              <w:rPr>
                <w:b/>
                <w:bCs/>
              </w:rPr>
              <w:t xml:space="preserve"> 2</w:t>
            </w:r>
            <w:r>
              <w:rPr>
                <w:b/>
                <w:bCs/>
              </w:rPr>
              <w:t xml:space="preserve"> and 4</w:t>
            </w:r>
            <w:r w:rsidRPr="00CF7482">
              <w:rPr>
                <w:b/>
                <w:bCs/>
              </w:rPr>
              <w:t>: Scoping the Position</w:t>
            </w:r>
            <w:r>
              <w:rPr>
                <w:b/>
                <w:bCs/>
              </w:rPr>
              <w:t xml:space="preserve"> and Selection Criteria</w:t>
            </w:r>
          </w:p>
          <w:p w14:paraId="4526FE6C" w14:textId="081C4465" w:rsidR="00994A44" w:rsidRPr="00441A26" w:rsidRDefault="00994A44" w:rsidP="00AA486D"/>
        </w:tc>
      </w:tr>
      <w:tr w:rsidR="00281BF2" w:rsidRPr="00441A26" w14:paraId="0C31A8A0" w14:textId="77777777" w:rsidTr="004A1550">
        <w:tc>
          <w:tcPr>
            <w:tcW w:w="2972" w:type="dxa"/>
          </w:tcPr>
          <w:p w14:paraId="008DBF91" w14:textId="14FAAFD5" w:rsidR="00281BF2" w:rsidRPr="00441A26" w:rsidRDefault="009439A0" w:rsidP="00281BF2">
            <w:pPr>
              <w:rPr>
                <w:color w:val="auto"/>
              </w:rPr>
            </w:pPr>
            <w:r w:rsidRPr="00441A26">
              <w:rPr>
                <w:color w:val="auto"/>
              </w:rPr>
              <w:t>Avoid phrasing</w:t>
            </w:r>
            <w:r w:rsidR="00281BF2" w:rsidRPr="00441A26">
              <w:rPr>
                <w:color w:val="auto"/>
              </w:rPr>
              <w:t xml:space="preserve"> that </w:t>
            </w:r>
            <w:r w:rsidRPr="00441A26">
              <w:rPr>
                <w:color w:val="auto"/>
              </w:rPr>
              <w:t xml:space="preserve">indicates </w:t>
            </w:r>
            <w:r w:rsidR="00281BF2" w:rsidRPr="00441A26">
              <w:rPr>
                <w:color w:val="auto"/>
              </w:rPr>
              <w:t>a specific demographic profile is preferred</w:t>
            </w:r>
            <w:r w:rsidR="00AC750C" w:rsidRPr="00441A26">
              <w:rPr>
                <w:color w:val="auto"/>
              </w:rPr>
              <w:t xml:space="preserve"> or which may be biased or discriminatory</w:t>
            </w:r>
          </w:p>
          <w:p w14:paraId="5BB3B958" w14:textId="77777777" w:rsidR="00281BF2" w:rsidRPr="00441A26" w:rsidRDefault="00281BF2" w:rsidP="00356B6D">
            <w:pPr>
              <w:rPr>
                <w:color w:val="auto"/>
              </w:rPr>
            </w:pPr>
          </w:p>
        </w:tc>
        <w:tc>
          <w:tcPr>
            <w:tcW w:w="6044" w:type="dxa"/>
          </w:tcPr>
          <w:p w14:paraId="18DA5D15" w14:textId="5A95253C" w:rsidR="00281BF2" w:rsidRPr="00441A26" w:rsidRDefault="009439A0" w:rsidP="00281BF2">
            <w:pPr>
              <w:pStyle w:val="ListParagraph"/>
              <w:numPr>
                <w:ilvl w:val="0"/>
                <w:numId w:val="5"/>
              </w:numPr>
              <w:rPr>
                <w:color w:val="auto"/>
                <w:lang w:val="en-US"/>
              </w:rPr>
            </w:pPr>
            <w:r w:rsidRPr="00441A26">
              <w:rPr>
                <w:color w:val="auto"/>
                <w:lang w:val="en-US"/>
              </w:rPr>
              <w:t>Ask someone (or two or three people) who are different from you to check the role description and advertisement for exclusionary wording</w:t>
            </w:r>
          </w:p>
        </w:tc>
      </w:tr>
      <w:tr w:rsidR="00356B6D" w:rsidRPr="00441A26" w14:paraId="5C9249EC" w14:textId="77777777" w:rsidTr="004A1550">
        <w:tc>
          <w:tcPr>
            <w:tcW w:w="2972" w:type="dxa"/>
          </w:tcPr>
          <w:p w14:paraId="0FA51FCA" w14:textId="58CA963C" w:rsidR="00356B6D" w:rsidRPr="00441A26" w:rsidRDefault="00356B6D" w:rsidP="00356B6D">
            <w:pPr>
              <w:rPr>
                <w:color w:val="auto"/>
              </w:rPr>
            </w:pPr>
            <w:r w:rsidRPr="00441A26">
              <w:rPr>
                <w:color w:val="auto"/>
              </w:rPr>
              <w:lastRenderedPageBreak/>
              <w:t>Use gender-neutral language</w:t>
            </w:r>
            <w:r w:rsidR="007642B2">
              <w:rPr>
                <w:color w:val="auto"/>
              </w:rPr>
              <w:t xml:space="preserve"> to encourage all groups to apply</w:t>
            </w:r>
            <w:r w:rsidRPr="00441A26">
              <w:rPr>
                <w:color w:val="auto"/>
              </w:rPr>
              <w:t xml:space="preserve">. </w:t>
            </w:r>
          </w:p>
          <w:p w14:paraId="429E1568" w14:textId="7598EAAF" w:rsidR="00356B6D" w:rsidRPr="00441A26" w:rsidRDefault="00356B6D" w:rsidP="00356B6D">
            <w:pPr>
              <w:pStyle w:val="ListParagraph"/>
              <w:ind w:left="1440"/>
            </w:pPr>
          </w:p>
        </w:tc>
        <w:tc>
          <w:tcPr>
            <w:tcW w:w="6044" w:type="dxa"/>
          </w:tcPr>
          <w:p w14:paraId="2884FBB6" w14:textId="292382F5" w:rsidR="00356B6D" w:rsidRPr="008F0167" w:rsidRDefault="00983782" w:rsidP="008F0167">
            <w:pPr>
              <w:pStyle w:val="ListParagraph"/>
              <w:numPr>
                <w:ilvl w:val="0"/>
                <w:numId w:val="12"/>
              </w:numPr>
              <w:rPr>
                <w:color w:val="auto"/>
              </w:rPr>
            </w:pPr>
            <w:r w:rsidRPr="008F0167">
              <w:rPr>
                <w:color w:val="auto"/>
              </w:rPr>
              <w:t>Wh</w:t>
            </w:r>
            <w:r w:rsidR="00356B6D" w:rsidRPr="008F0167">
              <w:rPr>
                <w:color w:val="auto"/>
              </w:rPr>
              <w:t>en job advertisements include more masculine</w:t>
            </w:r>
            <w:r w:rsidR="00B475A8">
              <w:rPr>
                <w:color w:val="auto"/>
              </w:rPr>
              <w:t xml:space="preserve"> (eg; </w:t>
            </w:r>
            <w:r w:rsidR="00CF7482">
              <w:rPr>
                <w:color w:val="auto"/>
              </w:rPr>
              <w:t>‘</w:t>
            </w:r>
            <w:r w:rsidR="00B475A8">
              <w:rPr>
                <w:color w:val="auto"/>
              </w:rPr>
              <w:t>determined</w:t>
            </w:r>
            <w:r w:rsidR="00CF7482">
              <w:rPr>
                <w:color w:val="auto"/>
              </w:rPr>
              <w:t>’</w:t>
            </w:r>
            <w:r w:rsidR="00B475A8">
              <w:rPr>
                <w:color w:val="auto"/>
              </w:rPr>
              <w:t>)</w:t>
            </w:r>
            <w:r w:rsidR="00356B6D" w:rsidRPr="008F0167">
              <w:rPr>
                <w:color w:val="auto"/>
              </w:rPr>
              <w:t xml:space="preserve"> than feminine wording</w:t>
            </w:r>
            <w:r w:rsidR="00B475A8">
              <w:rPr>
                <w:color w:val="auto"/>
              </w:rPr>
              <w:t xml:space="preserve"> (eg, </w:t>
            </w:r>
            <w:r w:rsidR="00CF7482">
              <w:rPr>
                <w:color w:val="auto"/>
              </w:rPr>
              <w:t>‘</w:t>
            </w:r>
            <w:r w:rsidR="00B475A8">
              <w:rPr>
                <w:color w:val="auto"/>
              </w:rPr>
              <w:t>collaborative</w:t>
            </w:r>
            <w:r w:rsidR="00CF7482">
              <w:rPr>
                <w:color w:val="auto"/>
              </w:rPr>
              <w:t>’</w:t>
            </w:r>
            <w:r w:rsidR="00B475A8">
              <w:rPr>
                <w:color w:val="auto"/>
              </w:rPr>
              <w:t>)</w:t>
            </w:r>
            <w:r w:rsidR="00356B6D" w:rsidRPr="008F0167">
              <w:rPr>
                <w:color w:val="auto"/>
              </w:rPr>
              <w:t xml:space="preserve">, participants perceive men </w:t>
            </w:r>
            <w:r w:rsidR="00CF7482">
              <w:rPr>
                <w:color w:val="auto"/>
              </w:rPr>
              <w:t xml:space="preserve">as the norm </w:t>
            </w:r>
            <w:r w:rsidR="00356B6D" w:rsidRPr="008F0167">
              <w:rPr>
                <w:color w:val="auto"/>
              </w:rPr>
              <w:t xml:space="preserve">within these occupations and women find these jobs less </w:t>
            </w:r>
            <w:r w:rsidR="00CF7482">
              <w:rPr>
                <w:color w:val="auto"/>
              </w:rPr>
              <w:t>appealing and are less likely to apply</w:t>
            </w:r>
            <w:r w:rsidR="00AA486D" w:rsidRPr="008F0167">
              <w:rPr>
                <w:rStyle w:val="FootnoteReference"/>
                <w:color w:val="auto"/>
              </w:rPr>
              <w:footnoteReference w:id="3"/>
            </w:r>
            <w:r w:rsidR="00356B6D" w:rsidRPr="008F0167">
              <w:rPr>
                <w:color w:val="auto"/>
              </w:rPr>
              <w:t xml:space="preserve">. </w:t>
            </w:r>
          </w:p>
          <w:p w14:paraId="2B2337B6" w14:textId="77777777" w:rsidR="00356B6D" w:rsidRPr="00441A26" w:rsidRDefault="00356B6D" w:rsidP="00356B6D">
            <w:pPr>
              <w:pStyle w:val="ListParagraph"/>
              <w:ind w:left="360"/>
              <w:rPr>
                <w:color w:val="auto"/>
              </w:rPr>
            </w:pPr>
          </w:p>
          <w:p w14:paraId="00AFE20F" w14:textId="10B92DEB" w:rsidR="00356B6D" w:rsidRPr="00441A26" w:rsidRDefault="00356B6D" w:rsidP="00983782">
            <w:pPr>
              <w:rPr>
                <w:color w:val="auto"/>
              </w:rPr>
            </w:pPr>
            <w:r w:rsidRPr="00441A26">
              <w:rPr>
                <w:b/>
                <w:bCs/>
                <w:color w:val="auto"/>
                <w:lang w:val="en-US"/>
              </w:rPr>
              <w:t>Tools to assess language in job advertisements</w:t>
            </w:r>
          </w:p>
          <w:p w14:paraId="28EA0DE4" w14:textId="5A23C7A8" w:rsidR="00B70942" w:rsidRDefault="00095639" w:rsidP="000E1E18">
            <w:pPr>
              <w:pStyle w:val="ListParagraph"/>
              <w:numPr>
                <w:ilvl w:val="1"/>
                <w:numId w:val="3"/>
              </w:numPr>
              <w:autoSpaceDE w:val="0"/>
              <w:autoSpaceDN w:val="0"/>
              <w:adjustRightInd w:val="0"/>
              <w:ind w:left="740" w:right="1513"/>
              <w:rPr>
                <w:color w:val="0070C0"/>
                <w:lang w:val="en-US"/>
              </w:rPr>
            </w:pPr>
            <w:hyperlink r:id="rId8" w:history="1">
              <w:r w:rsidR="00B70942">
                <w:rPr>
                  <w:rStyle w:val="Hyperlink"/>
                  <w:lang w:val="en-US"/>
                </w:rPr>
                <w:t>Gender Decoder for Job Ads</w:t>
              </w:r>
            </w:hyperlink>
          </w:p>
          <w:p w14:paraId="1A5DD788" w14:textId="41A703DD" w:rsidR="00A9070B" w:rsidRPr="00A9070B" w:rsidRDefault="00095639" w:rsidP="000E1E18">
            <w:pPr>
              <w:pStyle w:val="ListParagraph"/>
              <w:numPr>
                <w:ilvl w:val="1"/>
                <w:numId w:val="3"/>
              </w:numPr>
              <w:autoSpaceDE w:val="0"/>
              <w:autoSpaceDN w:val="0"/>
              <w:adjustRightInd w:val="0"/>
              <w:ind w:left="740" w:right="1513"/>
              <w:rPr>
                <w:rStyle w:val="Hyperlink"/>
                <w:color w:val="0070C0"/>
                <w:u w:val="none"/>
                <w:lang w:val="en-US"/>
              </w:rPr>
            </w:pPr>
            <w:hyperlink r:id="rId9" w:anchor=":~:text=Applied's%20Job%20Description%20Analysis%20Tool%20is%20a%20stand%20alone%20tool,complement%20your%20role%20building%20efforts.&amp;text=The%20tool%20is%20focused%20on,result%20of%20reading%20the%20description" w:history="1">
              <w:r w:rsidR="00B70942" w:rsidRPr="00A9070B">
                <w:rPr>
                  <w:rStyle w:val="Hyperlink"/>
                  <w:lang w:val="en-US"/>
                </w:rPr>
                <w:t>Applied Job Description Analysis</w:t>
              </w:r>
              <w:r w:rsidR="00A9070B" w:rsidRPr="00A9070B">
                <w:rPr>
                  <w:rStyle w:val="Hyperlink"/>
                  <w:lang w:val="en-US"/>
                </w:rPr>
                <w:t xml:space="preserve"> </w:t>
              </w:r>
              <w:r w:rsidR="00B70942" w:rsidRPr="00A9070B">
                <w:rPr>
                  <w:rStyle w:val="Hyperlink"/>
                  <w:lang w:val="en-US"/>
                </w:rPr>
                <w:t>Tool</w:t>
              </w:r>
            </w:hyperlink>
          </w:p>
          <w:p w14:paraId="54E67AF0" w14:textId="7820B8C8" w:rsidR="00B70942" w:rsidRPr="00A9070B" w:rsidRDefault="00095639" w:rsidP="000E1E18">
            <w:pPr>
              <w:pStyle w:val="ListParagraph"/>
              <w:numPr>
                <w:ilvl w:val="1"/>
                <w:numId w:val="3"/>
              </w:numPr>
              <w:autoSpaceDE w:val="0"/>
              <w:autoSpaceDN w:val="0"/>
              <w:adjustRightInd w:val="0"/>
              <w:ind w:left="740" w:right="1513"/>
              <w:rPr>
                <w:color w:val="0070C0"/>
                <w:lang w:val="en-US"/>
              </w:rPr>
            </w:pPr>
            <w:hyperlink r:id="rId10" w:history="1">
              <w:r w:rsidR="00A9070B" w:rsidRPr="00A9070B">
                <w:rPr>
                  <w:rStyle w:val="Hyperlink"/>
                  <w:lang w:val="en-US"/>
                </w:rPr>
                <w:t>Textio</w:t>
              </w:r>
            </w:hyperlink>
          </w:p>
          <w:p w14:paraId="5A060D58" w14:textId="2AE5ADB8" w:rsidR="00A9070B" w:rsidRDefault="00095639" w:rsidP="000E1E18">
            <w:pPr>
              <w:pStyle w:val="ListParagraph"/>
              <w:numPr>
                <w:ilvl w:val="1"/>
                <w:numId w:val="3"/>
              </w:numPr>
              <w:autoSpaceDE w:val="0"/>
              <w:autoSpaceDN w:val="0"/>
              <w:adjustRightInd w:val="0"/>
              <w:ind w:left="740" w:right="1513"/>
              <w:rPr>
                <w:color w:val="0070C0"/>
                <w:lang w:val="en-US"/>
              </w:rPr>
            </w:pPr>
            <w:hyperlink r:id="rId11" w:history="1">
              <w:r w:rsidR="00A9070B">
                <w:rPr>
                  <w:rStyle w:val="Hyperlink"/>
                  <w:lang w:val="en-US"/>
                </w:rPr>
                <w:t>TalVista</w:t>
              </w:r>
            </w:hyperlink>
            <w:r w:rsidR="00A9070B">
              <w:rPr>
                <w:color w:val="0070C0"/>
                <w:lang w:val="en-US"/>
              </w:rPr>
              <w:t xml:space="preserve"> </w:t>
            </w:r>
          </w:p>
          <w:p w14:paraId="45A8174A" w14:textId="1D29AD76" w:rsidR="00983782" w:rsidRPr="00441A26" w:rsidRDefault="00983782" w:rsidP="00A9070B">
            <w:pPr>
              <w:pStyle w:val="ListParagraph"/>
              <w:ind w:left="740" w:right="1513"/>
              <w:rPr>
                <w:color w:val="0070C0"/>
                <w:lang w:val="en-US"/>
              </w:rPr>
            </w:pPr>
          </w:p>
        </w:tc>
      </w:tr>
      <w:tr w:rsidR="000C1C5A" w:rsidRPr="00441A26" w14:paraId="76D1E422" w14:textId="77777777" w:rsidTr="004A1550">
        <w:tc>
          <w:tcPr>
            <w:tcW w:w="2972" w:type="dxa"/>
          </w:tcPr>
          <w:p w14:paraId="628B30EF" w14:textId="50242995" w:rsidR="000C1C5A" w:rsidRPr="00441A26" w:rsidRDefault="008F0167" w:rsidP="004A1550">
            <w:r>
              <w:t>S</w:t>
            </w:r>
            <w:r w:rsidR="004C06F6" w:rsidRPr="00441A26">
              <w:t>upport applicants to provide their best application</w:t>
            </w:r>
            <w:r>
              <w:t xml:space="preserve"> </w:t>
            </w:r>
          </w:p>
          <w:p w14:paraId="0B0BC42F" w14:textId="4E9C7040" w:rsidR="004C06F6" w:rsidRPr="00441A26" w:rsidRDefault="004C06F6" w:rsidP="004A1550"/>
        </w:tc>
        <w:tc>
          <w:tcPr>
            <w:tcW w:w="6044" w:type="dxa"/>
          </w:tcPr>
          <w:p w14:paraId="7632CC84" w14:textId="663EB4D6" w:rsidR="001C2C65" w:rsidRPr="00441A26" w:rsidRDefault="001C2C65" w:rsidP="001C2C65">
            <w:pPr>
              <w:pStyle w:val="Default"/>
              <w:numPr>
                <w:ilvl w:val="0"/>
                <w:numId w:val="11"/>
              </w:numPr>
              <w:rPr>
                <w:rStyle w:val="A2"/>
                <w:rFonts w:ascii="Segoe UI" w:hAnsi="Segoe UI" w:cs="Segoe UI"/>
                <w:b/>
                <w:bCs/>
                <w:sz w:val="22"/>
                <w:szCs w:val="22"/>
              </w:rPr>
            </w:pPr>
            <w:r w:rsidRPr="00441A26">
              <w:rPr>
                <w:rStyle w:val="A2"/>
                <w:rFonts w:ascii="Segoe UI" w:hAnsi="Segoe UI" w:cs="Segoe UI"/>
                <w:sz w:val="22"/>
                <w:szCs w:val="22"/>
              </w:rPr>
              <w:t>Consider providing applicants with guidelines</w:t>
            </w:r>
            <w:r w:rsidR="003A61AB" w:rsidRPr="00441A26">
              <w:rPr>
                <w:rStyle w:val="A2"/>
                <w:rFonts w:ascii="Segoe UI" w:hAnsi="Segoe UI" w:cs="Segoe UI"/>
                <w:sz w:val="22"/>
                <w:szCs w:val="22"/>
              </w:rPr>
              <w:t xml:space="preserve"> or examples </w:t>
            </w:r>
            <w:r w:rsidRPr="00441A26">
              <w:rPr>
                <w:rStyle w:val="A2"/>
                <w:rFonts w:ascii="Segoe UI" w:hAnsi="Segoe UI" w:cs="Segoe UI"/>
                <w:sz w:val="22"/>
                <w:szCs w:val="22"/>
              </w:rPr>
              <w:t>of expected response format</w:t>
            </w:r>
          </w:p>
          <w:p w14:paraId="42B1C910" w14:textId="34352A8E" w:rsidR="005D00AB" w:rsidRPr="00441A26" w:rsidRDefault="005D00AB" w:rsidP="005D00AB">
            <w:pPr>
              <w:pStyle w:val="Default"/>
              <w:rPr>
                <w:rStyle w:val="A2"/>
                <w:rFonts w:ascii="Segoe UI" w:hAnsi="Segoe UI" w:cs="Segoe UI"/>
                <w:b/>
                <w:bCs/>
                <w:sz w:val="22"/>
                <w:szCs w:val="22"/>
              </w:rPr>
            </w:pPr>
            <w:r w:rsidRPr="00441A26">
              <w:rPr>
                <w:rStyle w:val="A2"/>
                <w:rFonts w:ascii="Segoe UI" w:hAnsi="Segoe UI" w:cs="Segoe UI"/>
                <w:b/>
                <w:bCs/>
                <w:sz w:val="22"/>
                <w:szCs w:val="22"/>
              </w:rPr>
              <w:t>Example:</w:t>
            </w:r>
          </w:p>
          <w:p w14:paraId="76AE5B08" w14:textId="13712AB6" w:rsidR="005D00AB" w:rsidRPr="00441A26" w:rsidRDefault="005D00AB" w:rsidP="005D00AB">
            <w:pPr>
              <w:pStyle w:val="Default"/>
              <w:ind w:left="456"/>
              <w:rPr>
                <w:rStyle w:val="A2"/>
                <w:rFonts w:ascii="Segoe UI" w:hAnsi="Segoe UI" w:cs="Segoe UI"/>
                <w:color w:val="0070C0"/>
                <w:sz w:val="22"/>
                <w:szCs w:val="22"/>
              </w:rPr>
            </w:pPr>
            <w:r w:rsidRPr="00441A26">
              <w:rPr>
                <w:rStyle w:val="A2"/>
                <w:rFonts w:ascii="Segoe UI" w:hAnsi="Segoe UI" w:cs="Segoe UI"/>
                <w:color w:val="0070C0"/>
                <w:sz w:val="22"/>
                <w:szCs w:val="22"/>
              </w:rPr>
              <w:t>“Applicants are encouraged to</w:t>
            </w:r>
            <w:r w:rsidR="000E1E18" w:rsidRPr="00441A26">
              <w:rPr>
                <w:rStyle w:val="A2"/>
                <w:rFonts w:ascii="Segoe UI" w:hAnsi="Segoe UI" w:cs="Segoe UI"/>
                <w:color w:val="0070C0"/>
                <w:sz w:val="22"/>
                <w:szCs w:val="22"/>
              </w:rPr>
              <w:t xml:space="preserve"> clearly</w:t>
            </w:r>
            <w:r w:rsidRPr="00441A26">
              <w:rPr>
                <w:rStyle w:val="A2"/>
                <w:rFonts w:ascii="Segoe UI" w:hAnsi="Segoe UI" w:cs="Segoe UI"/>
                <w:color w:val="0070C0"/>
                <w:sz w:val="22"/>
                <w:szCs w:val="22"/>
              </w:rPr>
              <w:t xml:space="preserve"> </w:t>
            </w:r>
            <w:r w:rsidR="00844FA1" w:rsidRPr="00441A26">
              <w:rPr>
                <w:rStyle w:val="A2"/>
                <w:rFonts w:ascii="Segoe UI" w:hAnsi="Segoe UI" w:cs="Segoe UI"/>
                <w:color w:val="0070C0"/>
                <w:sz w:val="22"/>
                <w:szCs w:val="22"/>
              </w:rPr>
              <w:t xml:space="preserve">address and </w:t>
            </w:r>
            <w:r w:rsidRPr="00441A26">
              <w:rPr>
                <w:rStyle w:val="A2"/>
                <w:rFonts w:ascii="Segoe UI" w:hAnsi="Segoe UI" w:cs="Segoe UI"/>
                <w:color w:val="0070C0"/>
                <w:sz w:val="22"/>
                <w:szCs w:val="22"/>
              </w:rPr>
              <w:t xml:space="preserve">demonstrate how they meet each of the </w:t>
            </w:r>
            <w:r w:rsidR="00844FA1" w:rsidRPr="00441A26">
              <w:rPr>
                <w:rStyle w:val="A2"/>
                <w:rFonts w:ascii="Segoe UI" w:hAnsi="Segoe UI" w:cs="Segoe UI"/>
                <w:color w:val="0070C0"/>
                <w:sz w:val="22"/>
                <w:szCs w:val="22"/>
              </w:rPr>
              <w:t>above</w:t>
            </w:r>
            <w:r w:rsidRPr="00441A26">
              <w:rPr>
                <w:rStyle w:val="A2"/>
                <w:rFonts w:ascii="Segoe UI" w:hAnsi="Segoe UI" w:cs="Segoe UI"/>
                <w:color w:val="0070C0"/>
                <w:sz w:val="22"/>
                <w:szCs w:val="22"/>
              </w:rPr>
              <w:t xml:space="preserve"> criteria</w:t>
            </w:r>
            <w:r w:rsidR="00C83405" w:rsidRPr="00441A26">
              <w:rPr>
                <w:rStyle w:val="A2"/>
                <w:rFonts w:ascii="Segoe UI" w:hAnsi="Segoe UI" w:cs="Segoe UI"/>
                <w:color w:val="0070C0"/>
                <w:sz w:val="22"/>
                <w:szCs w:val="22"/>
              </w:rPr>
              <w:t>.”</w:t>
            </w:r>
          </w:p>
          <w:p w14:paraId="77803871" w14:textId="1809473D" w:rsidR="00441A26" w:rsidRPr="00441A26" w:rsidRDefault="00441A26" w:rsidP="00441A26">
            <w:pPr>
              <w:pStyle w:val="Default"/>
              <w:numPr>
                <w:ilvl w:val="0"/>
                <w:numId w:val="11"/>
              </w:numPr>
              <w:rPr>
                <w:rStyle w:val="A2"/>
                <w:rFonts w:ascii="Segoe UI" w:hAnsi="Segoe UI" w:cs="Segoe UI"/>
                <w:color w:val="auto"/>
                <w:sz w:val="22"/>
                <w:szCs w:val="22"/>
              </w:rPr>
            </w:pPr>
            <w:r w:rsidRPr="00441A26">
              <w:rPr>
                <w:rStyle w:val="A2"/>
                <w:rFonts w:ascii="Segoe UI" w:hAnsi="Segoe UI" w:cs="Segoe UI"/>
                <w:color w:val="auto"/>
                <w:sz w:val="22"/>
                <w:szCs w:val="22"/>
              </w:rPr>
              <w:t>Advise applicants</w:t>
            </w:r>
            <w:r>
              <w:rPr>
                <w:rStyle w:val="A2"/>
                <w:rFonts w:ascii="Segoe UI" w:hAnsi="Segoe UI" w:cs="Segoe UI"/>
                <w:color w:val="auto"/>
                <w:sz w:val="22"/>
                <w:szCs w:val="22"/>
              </w:rPr>
              <w:t xml:space="preserve"> on the process      </w:t>
            </w:r>
          </w:p>
          <w:p w14:paraId="6B94C6A7" w14:textId="02C28D40" w:rsidR="00C83405" w:rsidRPr="00441A26" w:rsidRDefault="00C83405" w:rsidP="005D00AB">
            <w:pPr>
              <w:pStyle w:val="Default"/>
              <w:ind w:left="456"/>
              <w:rPr>
                <w:rStyle w:val="A2"/>
                <w:rFonts w:ascii="Segoe UI" w:hAnsi="Segoe UI" w:cs="Segoe UI"/>
                <w:color w:val="0070C0"/>
                <w:sz w:val="22"/>
                <w:szCs w:val="22"/>
              </w:rPr>
            </w:pPr>
            <w:r w:rsidRPr="00441A26">
              <w:rPr>
                <w:rStyle w:val="A2"/>
                <w:rFonts w:ascii="Segoe UI" w:hAnsi="Segoe UI" w:cs="Segoe UI"/>
                <w:color w:val="0070C0"/>
                <w:sz w:val="22"/>
                <w:szCs w:val="22"/>
              </w:rPr>
              <w:t xml:space="preserve">“Applicants called for interview will be required to sit a short test to assess their </w:t>
            </w:r>
            <w:r w:rsidR="00E87411" w:rsidRPr="00441A26">
              <w:rPr>
                <w:rStyle w:val="A2"/>
                <w:rFonts w:ascii="Segoe UI" w:hAnsi="Segoe UI" w:cs="Segoe UI"/>
                <w:color w:val="0070C0"/>
                <w:sz w:val="22"/>
                <w:szCs w:val="22"/>
              </w:rPr>
              <w:t xml:space="preserve">ability to </w:t>
            </w:r>
            <w:r w:rsidR="000E1E18" w:rsidRPr="00441A26">
              <w:rPr>
                <w:rStyle w:val="A2"/>
                <w:rFonts w:ascii="Segoe UI" w:hAnsi="Segoe UI" w:cs="Segoe UI"/>
                <w:color w:val="0070C0"/>
                <w:sz w:val="22"/>
                <w:szCs w:val="22"/>
              </w:rPr>
              <w:t>write a message for social media</w:t>
            </w:r>
            <w:r w:rsidR="00E87411" w:rsidRPr="00441A26">
              <w:rPr>
                <w:rStyle w:val="A2"/>
                <w:rFonts w:ascii="Segoe UI" w:hAnsi="Segoe UI" w:cs="Segoe UI"/>
                <w:color w:val="0070C0"/>
                <w:sz w:val="22"/>
                <w:szCs w:val="22"/>
              </w:rPr>
              <w:t>”</w:t>
            </w:r>
          </w:p>
          <w:p w14:paraId="381431A4" w14:textId="6FB69AA0" w:rsidR="001C2C65" w:rsidRPr="00E85776" w:rsidRDefault="001C2C65" w:rsidP="001C2C65">
            <w:pPr>
              <w:pStyle w:val="Default"/>
              <w:numPr>
                <w:ilvl w:val="0"/>
                <w:numId w:val="11"/>
              </w:numPr>
              <w:rPr>
                <w:rStyle w:val="A2"/>
                <w:rFonts w:ascii="Segoe UI" w:hAnsi="Segoe UI" w:cs="Segoe UI"/>
                <w:b/>
                <w:bCs/>
                <w:color w:val="auto"/>
                <w:sz w:val="22"/>
                <w:szCs w:val="22"/>
              </w:rPr>
            </w:pPr>
            <w:r w:rsidRPr="00E85776">
              <w:rPr>
                <w:rStyle w:val="A2"/>
                <w:rFonts w:ascii="Segoe UI" w:hAnsi="Segoe UI" w:cs="Segoe UI"/>
                <w:color w:val="auto"/>
                <w:sz w:val="22"/>
                <w:szCs w:val="22"/>
              </w:rPr>
              <w:t>Include a relevant contact person on the advertisement with whom applicants could seek any further clarification</w:t>
            </w:r>
            <w:r w:rsidR="0040331A" w:rsidRPr="00E85776">
              <w:rPr>
                <w:rStyle w:val="A2"/>
                <w:rFonts w:ascii="Segoe UI" w:hAnsi="Segoe UI" w:cs="Segoe UI"/>
                <w:color w:val="auto"/>
                <w:sz w:val="22"/>
                <w:szCs w:val="22"/>
              </w:rPr>
              <w:t xml:space="preserve"> about the role</w:t>
            </w:r>
            <w:r w:rsidR="00E85776" w:rsidRPr="00E85776">
              <w:rPr>
                <w:rStyle w:val="A2"/>
                <w:rFonts w:ascii="Segoe UI" w:hAnsi="Segoe UI" w:cs="Segoe UI"/>
                <w:color w:val="auto"/>
                <w:sz w:val="22"/>
                <w:szCs w:val="22"/>
              </w:rPr>
              <w:t xml:space="preserve"> or request reasonable accommodations for the recruitment process</w:t>
            </w:r>
          </w:p>
          <w:p w14:paraId="5F64A570" w14:textId="77777777" w:rsidR="00D14D9C" w:rsidRDefault="00D14D9C" w:rsidP="000C1C5A">
            <w:pPr>
              <w:pStyle w:val="Default"/>
              <w:rPr>
                <w:rStyle w:val="A2"/>
                <w:rFonts w:ascii="Segoe UI" w:hAnsi="Segoe UI" w:cs="Segoe UI"/>
                <w:b/>
                <w:bCs/>
                <w:sz w:val="22"/>
                <w:szCs w:val="22"/>
              </w:rPr>
            </w:pPr>
          </w:p>
          <w:p w14:paraId="239B9B55" w14:textId="2555E286" w:rsidR="000C1C5A" w:rsidRPr="0027473B" w:rsidRDefault="0027473B" w:rsidP="000C1C5A">
            <w:pPr>
              <w:pStyle w:val="Default"/>
              <w:rPr>
                <w:rStyle w:val="A2"/>
                <w:rFonts w:ascii="Segoe UI" w:hAnsi="Segoe UI" w:cs="Segoe UI"/>
                <w:b/>
                <w:bCs/>
                <w:sz w:val="22"/>
                <w:szCs w:val="22"/>
              </w:rPr>
            </w:pPr>
            <w:r w:rsidRPr="0027473B">
              <w:rPr>
                <w:rStyle w:val="A2"/>
                <w:rFonts w:ascii="Segoe UI" w:hAnsi="Segoe UI" w:cs="Segoe UI"/>
                <w:b/>
                <w:bCs/>
                <w:sz w:val="22"/>
                <w:szCs w:val="22"/>
              </w:rPr>
              <w:t>Research</w:t>
            </w:r>
            <w:r w:rsidR="000C1C5A" w:rsidRPr="0027473B">
              <w:rPr>
                <w:rStyle w:val="A2"/>
                <w:rFonts w:ascii="Segoe UI" w:hAnsi="Segoe UI" w:cs="Segoe UI"/>
                <w:b/>
                <w:bCs/>
                <w:sz w:val="22"/>
                <w:szCs w:val="22"/>
              </w:rPr>
              <w:t xml:space="preserve">: </w:t>
            </w:r>
          </w:p>
          <w:p w14:paraId="40628472" w14:textId="2B20D21E" w:rsidR="00E85776" w:rsidRDefault="000C1C5A" w:rsidP="00E85776">
            <w:pPr>
              <w:pStyle w:val="Default"/>
              <w:numPr>
                <w:ilvl w:val="0"/>
                <w:numId w:val="12"/>
              </w:numPr>
              <w:rPr>
                <w:rStyle w:val="A2"/>
                <w:rFonts w:ascii="Segoe UI" w:hAnsi="Segoe UI" w:cs="Segoe UI"/>
                <w:color w:val="0070C0"/>
                <w:sz w:val="22"/>
                <w:szCs w:val="22"/>
              </w:rPr>
            </w:pPr>
            <w:r w:rsidRPr="00441A26">
              <w:rPr>
                <w:rStyle w:val="A2"/>
                <w:rFonts w:ascii="Segoe UI" w:hAnsi="Segoe UI" w:cs="Segoe UI"/>
                <w:color w:val="0070C0"/>
                <w:sz w:val="22"/>
                <w:szCs w:val="22"/>
              </w:rPr>
              <w:t>Young jobseekers report not knowing where to begin to construct an application that effectively sells their skills and potential</w:t>
            </w:r>
            <w:r w:rsidR="004C06F6" w:rsidRPr="00441A26">
              <w:rPr>
                <w:rStyle w:val="FootnoteReference"/>
                <w:rFonts w:ascii="Segoe UI" w:hAnsi="Segoe UI" w:cs="Segoe UI"/>
                <w:color w:val="0070C0"/>
                <w:sz w:val="22"/>
                <w:szCs w:val="22"/>
              </w:rPr>
              <w:footnoteReference w:id="4"/>
            </w:r>
            <w:r w:rsidRPr="00441A26">
              <w:rPr>
                <w:rStyle w:val="A2"/>
                <w:rFonts w:ascii="Segoe UI" w:hAnsi="Segoe UI" w:cs="Segoe UI"/>
                <w:color w:val="0070C0"/>
                <w:sz w:val="22"/>
                <w:szCs w:val="22"/>
              </w:rPr>
              <w:t>.</w:t>
            </w:r>
          </w:p>
          <w:p w14:paraId="25298AC3" w14:textId="4CAB4A06" w:rsidR="00E85776" w:rsidRPr="00E85776" w:rsidRDefault="002F5DB2" w:rsidP="00E85776">
            <w:pPr>
              <w:pStyle w:val="Default"/>
              <w:numPr>
                <w:ilvl w:val="0"/>
                <w:numId w:val="12"/>
              </w:numPr>
              <w:rPr>
                <w:rFonts w:ascii="Segoe UI" w:hAnsi="Segoe UI" w:cs="Segoe UI"/>
                <w:color w:val="0070C0"/>
                <w:sz w:val="22"/>
                <w:szCs w:val="22"/>
              </w:rPr>
            </w:pPr>
            <w:r>
              <w:rPr>
                <w:rFonts w:ascii="Segoe UI" w:hAnsi="Segoe UI" w:cs="Segoe UI"/>
                <w:color w:val="0070C0"/>
                <w:sz w:val="22"/>
                <w:szCs w:val="22"/>
              </w:rPr>
              <w:t xml:space="preserve">When a Victorian government department </w:t>
            </w:r>
            <w:r w:rsidR="001245BF">
              <w:rPr>
                <w:rFonts w:ascii="Segoe UI" w:hAnsi="Segoe UI" w:cs="Segoe UI"/>
                <w:color w:val="0070C0"/>
                <w:sz w:val="22"/>
                <w:szCs w:val="22"/>
              </w:rPr>
              <w:t xml:space="preserve">specifically offered in the advertisement to consider specific requirements and any adjustments to the recruitment process, people with disability progressed further through the process </w:t>
            </w:r>
            <w:r w:rsidR="001245BF">
              <w:rPr>
                <w:rStyle w:val="FootnoteReference"/>
                <w:rFonts w:ascii="Segoe UI" w:hAnsi="Segoe UI" w:cs="Segoe UI"/>
                <w:color w:val="0070C0"/>
                <w:sz w:val="22"/>
                <w:szCs w:val="22"/>
              </w:rPr>
              <w:footnoteReference w:id="5"/>
            </w:r>
          </w:p>
          <w:p w14:paraId="5D71EE5A" w14:textId="77777777" w:rsidR="000C1C5A" w:rsidRPr="00441A26" w:rsidRDefault="000C1C5A" w:rsidP="004A1550">
            <w:pPr>
              <w:pStyle w:val="ListParagraph"/>
              <w:ind w:left="0" w:right="1513"/>
              <w:rPr>
                <w:b/>
                <w:bCs/>
              </w:rPr>
            </w:pPr>
          </w:p>
        </w:tc>
      </w:tr>
      <w:tr w:rsidR="003A61AB" w:rsidRPr="00441A26" w14:paraId="4DAE742A" w14:textId="77777777" w:rsidTr="004A1550">
        <w:tc>
          <w:tcPr>
            <w:tcW w:w="2972" w:type="dxa"/>
          </w:tcPr>
          <w:p w14:paraId="60817BD7" w14:textId="62369C3F" w:rsidR="003A61AB" w:rsidRPr="00441A26" w:rsidRDefault="00D14D9C" w:rsidP="004A1550">
            <w:pPr>
              <w:rPr>
                <w:color w:val="auto"/>
              </w:rPr>
            </w:pPr>
            <w:r>
              <w:rPr>
                <w:color w:val="auto"/>
              </w:rPr>
              <w:t>A</w:t>
            </w:r>
            <w:r w:rsidR="003A61AB" w:rsidRPr="00441A26">
              <w:rPr>
                <w:color w:val="auto"/>
              </w:rPr>
              <w:t xml:space="preserve">lternative </w:t>
            </w:r>
            <w:r>
              <w:rPr>
                <w:color w:val="auto"/>
              </w:rPr>
              <w:t xml:space="preserve">or additional </w:t>
            </w:r>
            <w:r w:rsidR="003A61AB" w:rsidRPr="00441A26">
              <w:rPr>
                <w:color w:val="auto"/>
              </w:rPr>
              <w:t>approaches to written job applications</w:t>
            </w:r>
            <w:r>
              <w:rPr>
                <w:color w:val="auto"/>
              </w:rPr>
              <w:t xml:space="preserve"> and interviews are good indicators of future job performance</w:t>
            </w:r>
          </w:p>
        </w:tc>
        <w:tc>
          <w:tcPr>
            <w:tcW w:w="6044" w:type="dxa"/>
          </w:tcPr>
          <w:p w14:paraId="3DCABE0A" w14:textId="5D43B453" w:rsidR="001E29BC" w:rsidRDefault="003A61AB" w:rsidP="00B3789E">
            <w:pPr>
              <w:pStyle w:val="Default"/>
              <w:numPr>
                <w:ilvl w:val="0"/>
                <w:numId w:val="11"/>
              </w:numPr>
              <w:rPr>
                <w:rStyle w:val="A2"/>
                <w:rFonts w:ascii="Segoe UI" w:hAnsi="Segoe UI" w:cs="Segoe UI"/>
                <w:color w:val="auto"/>
                <w:sz w:val="22"/>
                <w:szCs w:val="22"/>
              </w:rPr>
            </w:pPr>
            <w:r w:rsidRPr="00441A26">
              <w:rPr>
                <w:rStyle w:val="A2"/>
                <w:rFonts w:ascii="Segoe UI" w:hAnsi="Segoe UI" w:cs="Segoe UI"/>
                <w:color w:val="auto"/>
                <w:sz w:val="22"/>
                <w:szCs w:val="22"/>
              </w:rPr>
              <w:t xml:space="preserve">Practical, hands-on approaches such as gamification and work-simulation exercises, that engage the skills and competencies required in the role may widen the pool of talent and maximise a fair go for a broader range of cohorts, especially </w:t>
            </w:r>
            <w:r w:rsidR="00A91631">
              <w:rPr>
                <w:rStyle w:val="A2"/>
                <w:rFonts w:ascii="Segoe UI" w:hAnsi="Segoe UI" w:cs="Segoe UI"/>
                <w:color w:val="auto"/>
                <w:sz w:val="22"/>
                <w:szCs w:val="22"/>
              </w:rPr>
              <w:t xml:space="preserve">for people with disability </w:t>
            </w:r>
            <w:r w:rsidR="00A91631">
              <w:rPr>
                <w:rStyle w:val="A2"/>
                <w:rFonts w:ascii="Segoe UI" w:hAnsi="Segoe UI" w:cs="Segoe UI"/>
                <w:color w:val="auto"/>
                <w:sz w:val="22"/>
                <w:szCs w:val="22"/>
              </w:rPr>
              <w:lastRenderedPageBreak/>
              <w:t xml:space="preserve">and </w:t>
            </w:r>
            <w:r w:rsidRPr="00441A26">
              <w:rPr>
                <w:rStyle w:val="A2"/>
                <w:rFonts w:ascii="Segoe UI" w:hAnsi="Segoe UI" w:cs="Segoe UI"/>
                <w:color w:val="auto"/>
                <w:sz w:val="22"/>
                <w:szCs w:val="22"/>
              </w:rPr>
              <w:t>where written application processes do not assess the key skills required</w:t>
            </w:r>
            <w:r w:rsidRPr="00441A26">
              <w:rPr>
                <w:rStyle w:val="FootnoteReference"/>
                <w:rFonts w:ascii="Segoe UI" w:hAnsi="Segoe UI" w:cs="Segoe UI"/>
                <w:color w:val="auto"/>
                <w:sz w:val="22"/>
                <w:szCs w:val="22"/>
              </w:rPr>
              <w:footnoteReference w:id="6"/>
            </w:r>
            <w:r w:rsidR="00A91631">
              <w:rPr>
                <w:rStyle w:val="A2"/>
                <w:rFonts w:ascii="Segoe UI" w:hAnsi="Segoe UI" w:cs="Segoe UI"/>
                <w:color w:val="auto"/>
                <w:sz w:val="22"/>
                <w:szCs w:val="22"/>
              </w:rPr>
              <w:t xml:space="preserve"> </w:t>
            </w:r>
          </w:p>
          <w:p w14:paraId="3339C071" w14:textId="7D6DCFA5" w:rsidR="00B475A8" w:rsidRPr="00B475A8" w:rsidRDefault="00B475A8" w:rsidP="00B3789E">
            <w:pPr>
              <w:pStyle w:val="Default"/>
              <w:numPr>
                <w:ilvl w:val="0"/>
                <w:numId w:val="11"/>
              </w:numPr>
              <w:rPr>
                <w:rFonts w:ascii="Segoe UI" w:hAnsi="Segoe UI" w:cs="Segoe UI"/>
                <w:color w:val="auto"/>
                <w:sz w:val="22"/>
                <w:szCs w:val="22"/>
              </w:rPr>
            </w:pPr>
            <w:r w:rsidRPr="00B475A8">
              <w:rPr>
                <w:rFonts w:ascii="Segoe UI" w:hAnsi="Segoe UI" w:cs="Segoe UI"/>
                <w:sz w:val="22"/>
                <w:szCs w:val="22"/>
              </w:rPr>
              <w:t>Work sample tests and asking applicants to</w:t>
            </w:r>
            <w:r w:rsidRPr="00B475A8">
              <w:rPr>
                <w:rFonts w:ascii="Segoe UI" w:hAnsi="Segoe UI" w:cs="Segoe UI"/>
                <w:color w:val="494949"/>
                <w:sz w:val="22"/>
                <w:szCs w:val="22"/>
              </w:rPr>
              <w:t xml:space="preserve"> solve work-related problems that mimic the kinds of tasks the candidate will be doing in the job, are excellent indicators of future job performance</w:t>
            </w:r>
            <w:r>
              <w:rPr>
                <w:rFonts w:ascii="Segoe UI" w:hAnsi="Segoe UI" w:cs="Segoe UI"/>
                <w:color w:val="494949"/>
                <w:sz w:val="22"/>
                <w:szCs w:val="22"/>
              </w:rPr>
              <w:t xml:space="preserve">. </w:t>
            </w:r>
          </w:p>
          <w:p w14:paraId="2BACC5B8" w14:textId="664E568F" w:rsidR="00B475A8" w:rsidRDefault="00095639" w:rsidP="00B475A8">
            <w:pPr>
              <w:pStyle w:val="Default"/>
              <w:numPr>
                <w:ilvl w:val="1"/>
                <w:numId w:val="11"/>
              </w:numPr>
              <w:rPr>
                <w:rFonts w:ascii="Segoe UI" w:hAnsi="Segoe UI" w:cs="Segoe UI"/>
                <w:color w:val="auto"/>
                <w:sz w:val="22"/>
                <w:szCs w:val="22"/>
              </w:rPr>
            </w:pPr>
            <w:hyperlink r:id="rId12" w:history="1">
              <w:r w:rsidR="00B475A8">
                <w:rPr>
                  <w:rStyle w:val="Hyperlink"/>
                  <w:rFonts w:ascii="Segoe UI" w:hAnsi="Segoe UI" w:cs="Segoe UI"/>
                  <w:sz w:val="22"/>
                  <w:szCs w:val="22"/>
                </w:rPr>
                <w:t>University of Western Australia Work Tests</w:t>
              </w:r>
            </w:hyperlink>
          </w:p>
          <w:p w14:paraId="78C3F994" w14:textId="23C4D797" w:rsidR="00B475A8" w:rsidRPr="00B475A8" w:rsidRDefault="00095639" w:rsidP="00B475A8">
            <w:pPr>
              <w:pStyle w:val="Default"/>
              <w:numPr>
                <w:ilvl w:val="1"/>
                <w:numId w:val="11"/>
              </w:numPr>
              <w:rPr>
                <w:rFonts w:ascii="Segoe UI" w:hAnsi="Segoe UI" w:cs="Segoe UI"/>
                <w:color w:val="auto"/>
                <w:sz w:val="22"/>
                <w:szCs w:val="22"/>
              </w:rPr>
            </w:pPr>
            <w:hyperlink r:id="rId13" w:history="1">
              <w:r w:rsidR="00B475A8">
                <w:rPr>
                  <w:rStyle w:val="Hyperlink"/>
                  <w:rFonts w:ascii="Segoe UI" w:hAnsi="Segoe UI" w:cs="Segoe UI"/>
                  <w:sz w:val="22"/>
                  <w:szCs w:val="22"/>
                </w:rPr>
                <w:t>Australian National University Work Samples</w:t>
              </w:r>
            </w:hyperlink>
            <w:r w:rsidR="00B475A8">
              <w:rPr>
                <w:rFonts w:ascii="Segoe UI" w:hAnsi="Segoe UI" w:cs="Segoe UI"/>
                <w:color w:val="auto"/>
                <w:sz w:val="22"/>
                <w:szCs w:val="22"/>
              </w:rPr>
              <w:t xml:space="preserve">  </w:t>
            </w:r>
          </w:p>
          <w:p w14:paraId="6278C1C4" w14:textId="77777777" w:rsidR="003A61AB" w:rsidRPr="00441A26" w:rsidRDefault="003A61AB" w:rsidP="003A61AB">
            <w:pPr>
              <w:pStyle w:val="Default"/>
              <w:rPr>
                <w:rStyle w:val="A2"/>
                <w:rFonts w:ascii="Segoe UI" w:hAnsi="Segoe UI" w:cs="Segoe UI"/>
                <w:color w:val="auto"/>
                <w:sz w:val="22"/>
                <w:szCs w:val="22"/>
              </w:rPr>
            </w:pPr>
          </w:p>
        </w:tc>
      </w:tr>
      <w:tr w:rsidR="004A1550" w:rsidRPr="00441A26" w14:paraId="58A444C4" w14:textId="77777777" w:rsidTr="004A1550">
        <w:tc>
          <w:tcPr>
            <w:tcW w:w="2972" w:type="dxa"/>
          </w:tcPr>
          <w:p w14:paraId="1F31F826" w14:textId="37D46EC6" w:rsidR="004A1550" w:rsidRPr="00441A26" w:rsidRDefault="00D14D9C" w:rsidP="004A1550">
            <w:r>
              <w:lastRenderedPageBreak/>
              <w:t>Welcome and encourage  applicants with diverse needs</w:t>
            </w:r>
          </w:p>
          <w:p w14:paraId="16DBE406" w14:textId="77777777" w:rsidR="004A1550" w:rsidRPr="00441A26" w:rsidRDefault="004A1550"/>
        </w:tc>
        <w:tc>
          <w:tcPr>
            <w:tcW w:w="6044" w:type="dxa"/>
          </w:tcPr>
          <w:p w14:paraId="59352C6B" w14:textId="77777777" w:rsidR="00CF7482" w:rsidRPr="00CF7482" w:rsidRDefault="00CF7482" w:rsidP="008F0167">
            <w:pPr>
              <w:pStyle w:val="ListParagraph"/>
              <w:numPr>
                <w:ilvl w:val="0"/>
                <w:numId w:val="11"/>
              </w:numPr>
              <w:ind w:right="264"/>
              <w:rPr>
                <w:rStyle w:val="Hyperlink"/>
                <w:color w:val="4A4C4C"/>
                <w:u w:val="none"/>
              </w:rPr>
            </w:pPr>
            <w:r w:rsidRPr="00441A26">
              <w:t xml:space="preserve">Use the </w:t>
            </w:r>
            <w:r>
              <w:t xml:space="preserve">University of Auckland’s </w:t>
            </w:r>
            <w:hyperlink r:id="rId14" w:history="1">
              <w:r>
                <w:rPr>
                  <w:rStyle w:val="Hyperlink"/>
                </w:rPr>
                <w:t xml:space="preserve">Safe, Inclusive, Equitable logo </w:t>
              </w:r>
            </w:hyperlink>
          </w:p>
          <w:p w14:paraId="19090AF4" w14:textId="1AC6D70F" w:rsidR="004A1550" w:rsidRPr="008F0167" w:rsidRDefault="008F0167" w:rsidP="008F0167">
            <w:pPr>
              <w:pStyle w:val="ListParagraph"/>
              <w:numPr>
                <w:ilvl w:val="0"/>
                <w:numId w:val="11"/>
              </w:numPr>
              <w:ind w:right="264"/>
            </w:pPr>
            <w:r>
              <w:t xml:space="preserve">In </w:t>
            </w:r>
            <w:r w:rsidRPr="008F0167">
              <w:t>addition to the required equity statement on all advertisem</w:t>
            </w:r>
            <w:r>
              <w:t>ents</w:t>
            </w:r>
            <w:r w:rsidR="00D14D9C">
              <w:rPr>
                <w:rStyle w:val="FootnoteReference"/>
              </w:rPr>
              <w:footnoteReference w:id="7"/>
            </w:r>
            <w:r>
              <w:t>, c</w:t>
            </w:r>
            <w:r w:rsidRPr="008F0167">
              <w:t>onsider providing more information or e</w:t>
            </w:r>
            <w:r w:rsidR="004A1550" w:rsidRPr="008F0167">
              <w:t>xamples</w:t>
            </w:r>
            <w:r>
              <w:t>. For instance:</w:t>
            </w:r>
          </w:p>
          <w:p w14:paraId="0AF604D7" w14:textId="3A15A8B0" w:rsidR="004A1550" w:rsidRPr="00441A26" w:rsidRDefault="004A1550" w:rsidP="004A1550">
            <w:pPr>
              <w:pStyle w:val="ListParagraph"/>
              <w:numPr>
                <w:ilvl w:val="0"/>
                <w:numId w:val="2"/>
              </w:numPr>
              <w:ind w:right="129"/>
            </w:pPr>
            <w:r w:rsidRPr="00441A26">
              <w:t xml:space="preserve">In a recently advertised position, the Faculty of Science </w:t>
            </w:r>
            <w:r w:rsidR="00356B6D" w:rsidRPr="00441A26">
              <w:t xml:space="preserve">(UoA) </w:t>
            </w:r>
            <w:r w:rsidRPr="00441A26">
              <w:t>included the following text:</w:t>
            </w:r>
          </w:p>
          <w:p w14:paraId="1B24698D" w14:textId="36E47CCB" w:rsidR="004A1550" w:rsidRPr="00441A26" w:rsidRDefault="004A1550" w:rsidP="00B83046">
            <w:pPr>
              <w:pStyle w:val="ListParagraph"/>
              <w:ind w:right="129"/>
              <w:rPr>
                <w:color w:val="0070C0"/>
              </w:rPr>
            </w:pPr>
            <w:r w:rsidRPr="00441A26">
              <w:rPr>
                <w:color w:val="0070C0"/>
              </w:rPr>
              <w:t>“We welcome applications that will enhance the diversity of our staff and strengthen our links with diverse communities. Our staff and students can connect with our flagship Tuākana, Women in Science, Parenting and Rainbow networks, and our Waipapa Marae.”</w:t>
            </w:r>
          </w:p>
          <w:p w14:paraId="03B49D53" w14:textId="12C88650" w:rsidR="004A1550" w:rsidRPr="00CF7482" w:rsidRDefault="004A1550" w:rsidP="004A1550">
            <w:pPr>
              <w:pStyle w:val="ListParagraph"/>
              <w:numPr>
                <w:ilvl w:val="0"/>
                <w:numId w:val="2"/>
              </w:numPr>
              <w:ind w:right="129"/>
            </w:pPr>
            <w:r w:rsidRPr="00CF7482">
              <w:t>The University of</w:t>
            </w:r>
            <w:r w:rsidR="00CF7482" w:rsidRPr="00CF7482">
              <w:t xml:space="preserve"> Sydney</w:t>
            </w:r>
            <w:r w:rsidRPr="00CF7482">
              <w:t xml:space="preserve"> </w:t>
            </w:r>
            <w:r w:rsidR="0013178B" w:rsidRPr="00CF7482">
              <w:t>include</w:t>
            </w:r>
            <w:r w:rsidRPr="00CF7482">
              <w:t xml:space="preserve">s: </w:t>
            </w:r>
          </w:p>
          <w:p w14:paraId="43042C7A" w14:textId="461D791E" w:rsidR="004A1550" w:rsidRPr="00CF7482" w:rsidRDefault="00CF7482" w:rsidP="00B83046">
            <w:pPr>
              <w:pStyle w:val="ListParagraph"/>
              <w:ind w:right="129"/>
              <w:rPr>
                <w:color w:val="0070C0"/>
              </w:rPr>
            </w:pPr>
            <w:r>
              <w:rPr>
                <w:color w:val="0070C0"/>
                <w:shd w:val="clear" w:color="auto" w:fill="FFFFFF"/>
              </w:rPr>
              <w:t>“</w:t>
            </w:r>
            <w:r w:rsidRPr="00CF7482">
              <w:rPr>
                <w:color w:val="0070C0"/>
                <w:shd w:val="clear" w:color="auto" w:fill="FFFFFF"/>
              </w:rPr>
              <w:t>The University of Sydney is committed to diversity and social inclusion. Applications from people of culturally and linguistically diverse backgrounds; equity target groups including women, people with disabilities, people who identify as LGBTIQ; and people of Aboriginal and Torres Strait Islander descent, are encouraged.</w:t>
            </w:r>
            <w:r w:rsidR="004A1550" w:rsidRPr="00CF7482">
              <w:rPr>
                <w:color w:val="0070C0"/>
              </w:rPr>
              <w:t>.”</w:t>
            </w:r>
          </w:p>
          <w:p w14:paraId="78B77D99" w14:textId="77777777" w:rsidR="00B4176C" w:rsidRPr="00441A26" w:rsidRDefault="00B4176C" w:rsidP="00B4176C">
            <w:pPr>
              <w:pStyle w:val="ListParagraph"/>
              <w:numPr>
                <w:ilvl w:val="0"/>
                <w:numId w:val="2"/>
              </w:numPr>
            </w:pPr>
            <w:r w:rsidRPr="00441A26">
              <w:t xml:space="preserve">Check images and language in public facing material and websites and consider who represents your faculty/division </w:t>
            </w:r>
          </w:p>
          <w:p w14:paraId="325A4387" w14:textId="77777777" w:rsidR="00B4176C" w:rsidRPr="00441A26" w:rsidRDefault="00B4176C" w:rsidP="00B4176C">
            <w:pPr>
              <w:rPr>
                <w:b/>
                <w:bCs/>
              </w:rPr>
            </w:pPr>
          </w:p>
          <w:p w14:paraId="4BDD7014" w14:textId="186BD2BC" w:rsidR="00B4176C" w:rsidRPr="00441A26" w:rsidRDefault="00B4176C" w:rsidP="00282501">
            <w:pPr>
              <w:ind w:left="456" w:hanging="456"/>
            </w:pPr>
            <w:r w:rsidRPr="00441A26">
              <w:rPr>
                <w:b/>
                <w:bCs/>
              </w:rPr>
              <w:t>Question:</w:t>
            </w:r>
            <w:r w:rsidRPr="00441A26">
              <w:rPr>
                <w:b/>
                <w:bCs/>
              </w:rPr>
              <w:br/>
            </w:r>
            <w:r w:rsidRPr="00441A26">
              <w:rPr>
                <w:color w:val="0070C0"/>
              </w:rPr>
              <w:t xml:space="preserve">Could Māori, Pacific, Asian, rainbow, gender diverse or </w:t>
            </w:r>
            <w:r w:rsidRPr="00441A26">
              <w:rPr>
                <w:color w:val="0070C0"/>
              </w:rPr>
              <w:lastRenderedPageBreak/>
              <w:t>disabled men and women see themselves working in your team?</w:t>
            </w:r>
          </w:p>
          <w:p w14:paraId="0CC76617" w14:textId="77777777" w:rsidR="004A1550" w:rsidRPr="00441A26" w:rsidRDefault="004A1550"/>
        </w:tc>
      </w:tr>
    </w:tbl>
    <w:p w14:paraId="51F31674" w14:textId="7F811121" w:rsidR="00AC750C" w:rsidRDefault="00AC750C" w:rsidP="00AC750C"/>
    <w:p w14:paraId="4B32D0E9" w14:textId="466CD4B3" w:rsidR="00AC750C" w:rsidRPr="00B475A8" w:rsidRDefault="00AC750C" w:rsidP="00B475A8">
      <w:pPr>
        <w:pStyle w:val="Heading2"/>
      </w:pPr>
      <w:r w:rsidRPr="00B475A8">
        <w:t>5.2 Seek diverse applications</w:t>
      </w:r>
    </w:p>
    <w:p w14:paraId="431C26E3" w14:textId="77777777" w:rsidR="00AC750C" w:rsidRPr="00441A26" w:rsidRDefault="00AC750C" w:rsidP="00AC750C"/>
    <w:tbl>
      <w:tblPr>
        <w:tblStyle w:val="TableGrid"/>
        <w:tblW w:w="0" w:type="auto"/>
        <w:tblLook w:val="04A0" w:firstRow="1" w:lastRow="0" w:firstColumn="1" w:lastColumn="0" w:noHBand="0" w:noVBand="1"/>
      </w:tblPr>
      <w:tblGrid>
        <w:gridCol w:w="2972"/>
        <w:gridCol w:w="6044"/>
      </w:tblGrid>
      <w:tr w:rsidR="004A1550" w:rsidRPr="00441A26" w14:paraId="41A9C688" w14:textId="77777777" w:rsidTr="004A1550">
        <w:tc>
          <w:tcPr>
            <w:tcW w:w="2972" w:type="dxa"/>
          </w:tcPr>
          <w:p w14:paraId="02629280" w14:textId="652AD3F7" w:rsidR="004A1550" w:rsidRPr="00441A26" w:rsidRDefault="002A73A4">
            <w:r w:rsidRPr="00441A26">
              <w:t>Actively reach out to a diverse range of potential candidates</w:t>
            </w:r>
          </w:p>
        </w:tc>
        <w:tc>
          <w:tcPr>
            <w:tcW w:w="6044" w:type="dxa"/>
          </w:tcPr>
          <w:p w14:paraId="4820C313" w14:textId="64EAC3EF" w:rsidR="00AC750C" w:rsidRPr="00441A26" w:rsidRDefault="006E3B3C" w:rsidP="00AC750C">
            <w:r w:rsidRPr="00441A26">
              <w:t>Actively search for talent away from traditional sources, and/or in areas which will attract gro</w:t>
            </w:r>
            <w:r w:rsidR="00AC750C" w:rsidRPr="00441A26">
              <w:t>ups that are under-represented in the staff cohort of the occupational group or organisational unit</w:t>
            </w:r>
          </w:p>
          <w:p w14:paraId="2C36EDB2" w14:textId="2C0B082C" w:rsidR="00A65565" w:rsidRDefault="00A65565" w:rsidP="006E3B3C">
            <w:pPr>
              <w:pStyle w:val="ListParagraph"/>
              <w:numPr>
                <w:ilvl w:val="0"/>
                <w:numId w:val="2"/>
              </w:numPr>
            </w:pPr>
            <w:r>
              <w:t>University networks, eg; Staff with Disabilities Network, Staff and Students from Refugee Backgrounds, Rainbow Network, etc. Refer to the office of the PVC Equity for contact details</w:t>
            </w:r>
          </w:p>
          <w:p w14:paraId="34417856" w14:textId="244D7EDC" w:rsidR="006E3B3C" w:rsidRPr="00CD2DB1" w:rsidRDefault="0040331A" w:rsidP="006E3B3C">
            <w:pPr>
              <w:pStyle w:val="ListParagraph"/>
              <w:numPr>
                <w:ilvl w:val="0"/>
                <w:numId w:val="2"/>
              </w:numPr>
            </w:pPr>
            <w:r w:rsidRPr="00441A26">
              <w:t xml:space="preserve">Use </w:t>
            </w:r>
            <w:r w:rsidRPr="00CD2DB1">
              <w:t>e</w:t>
            </w:r>
            <w:r w:rsidR="00AC750C" w:rsidRPr="00CD2DB1">
              <w:t xml:space="preserve">xternal and internal professional networks, eg, Women in </w:t>
            </w:r>
            <w:r w:rsidR="00C83405" w:rsidRPr="00CD2DB1">
              <w:t>Science</w:t>
            </w:r>
            <w:r w:rsidR="006E3B3C" w:rsidRPr="00CD2DB1">
              <w:t xml:space="preserve">, </w:t>
            </w:r>
            <w:r w:rsidR="00B65960" w:rsidRPr="00CD2DB1">
              <w:t xml:space="preserve">LGBTQI+ Network, Staff with Disability Network, </w:t>
            </w:r>
            <w:r w:rsidR="0013178B" w:rsidRPr="00CD2DB1">
              <w:t>PVC Pacific</w:t>
            </w:r>
            <w:r w:rsidR="00C83405" w:rsidRPr="00CD2DB1">
              <w:t xml:space="preserve"> office</w:t>
            </w:r>
            <w:r w:rsidR="0013178B" w:rsidRPr="00CD2DB1">
              <w:t>,</w:t>
            </w:r>
            <w:r w:rsidR="00AC750C" w:rsidRPr="00CD2DB1">
              <w:t xml:space="preserve"> </w:t>
            </w:r>
            <w:r w:rsidR="00B65960" w:rsidRPr="00CD2DB1">
              <w:t>Women in Law …</w:t>
            </w:r>
          </w:p>
          <w:p w14:paraId="28E3E874" w14:textId="7D1E2865" w:rsidR="00CD2DB1" w:rsidRPr="00CD2DB1" w:rsidRDefault="001340E0" w:rsidP="00CD2DB1">
            <w:pPr>
              <w:pStyle w:val="ListParagraph"/>
              <w:numPr>
                <w:ilvl w:val="0"/>
                <w:numId w:val="2"/>
              </w:numPr>
              <w:autoSpaceDE w:val="0"/>
              <w:autoSpaceDN w:val="0"/>
              <w:adjustRightInd w:val="0"/>
              <w:rPr>
                <w:color w:val="333332"/>
                <w:lang w:val="en-US"/>
              </w:rPr>
            </w:pPr>
            <w:r>
              <w:rPr>
                <w:color w:val="333332"/>
                <w:lang w:val="en-US"/>
              </w:rPr>
              <w:t>B</w:t>
            </w:r>
            <w:r w:rsidR="00CD2DB1" w:rsidRPr="00CD2DB1">
              <w:rPr>
                <w:color w:val="333332"/>
                <w:lang w:val="en-US"/>
              </w:rPr>
              <w:t>uild relationships with local iwi organisations and ethnically diverse networks</w:t>
            </w:r>
          </w:p>
          <w:p w14:paraId="45370EDD" w14:textId="7B83102B" w:rsidR="00CD2DB1" w:rsidRPr="00CD2DB1" w:rsidRDefault="00CD2DB1" w:rsidP="00CD2DB1">
            <w:pPr>
              <w:pStyle w:val="ListParagraph"/>
              <w:numPr>
                <w:ilvl w:val="0"/>
                <w:numId w:val="2"/>
              </w:numPr>
            </w:pPr>
            <w:r w:rsidRPr="00CD2DB1">
              <w:t>Encourage department members to make personal connections</w:t>
            </w:r>
            <w:r w:rsidR="00A91631">
              <w:t>,</w:t>
            </w:r>
            <w:r w:rsidRPr="00CD2DB1">
              <w:t xml:space="preserve"> generate potential contacts and to ‘shoulder tap’ appropriate contacts from under-represented groups</w:t>
            </w:r>
          </w:p>
          <w:p w14:paraId="7AC5E512" w14:textId="77777777" w:rsidR="00F6212E" w:rsidRPr="00441A26" w:rsidRDefault="00F6212E" w:rsidP="003D0E79">
            <w:pPr>
              <w:autoSpaceDE w:val="0"/>
              <w:autoSpaceDN w:val="0"/>
              <w:adjustRightInd w:val="0"/>
              <w:rPr>
                <w:color w:val="333332"/>
                <w:lang w:val="en-US"/>
              </w:rPr>
            </w:pPr>
          </w:p>
          <w:p w14:paraId="365C2486" w14:textId="69764F1C" w:rsidR="003D0E79" w:rsidRPr="00441A26" w:rsidRDefault="003D0E79" w:rsidP="003D0E79">
            <w:pPr>
              <w:autoSpaceDE w:val="0"/>
              <w:autoSpaceDN w:val="0"/>
              <w:adjustRightInd w:val="0"/>
              <w:rPr>
                <w:color w:val="333332"/>
                <w:lang w:val="en-US"/>
              </w:rPr>
            </w:pPr>
            <w:r w:rsidRPr="00441A26">
              <w:rPr>
                <w:color w:val="333332"/>
                <w:lang w:val="en-US"/>
              </w:rPr>
              <w:t>Websites to reach diverse audiences include:</w:t>
            </w:r>
          </w:p>
          <w:p w14:paraId="13A887FE" w14:textId="27298507" w:rsidR="003D0E79" w:rsidRPr="00441A26" w:rsidRDefault="00095639" w:rsidP="003D0E79">
            <w:pPr>
              <w:pStyle w:val="ListParagraph"/>
              <w:numPr>
                <w:ilvl w:val="0"/>
                <w:numId w:val="8"/>
              </w:numPr>
              <w:autoSpaceDE w:val="0"/>
              <w:autoSpaceDN w:val="0"/>
              <w:adjustRightInd w:val="0"/>
              <w:rPr>
                <w:color w:val="333332"/>
                <w:lang w:val="en-US"/>
              </w:rPr>
            </w:pPr>
            <w:hyperlink r:id="rId15" w:history="1">
              <w:r w:rsidR="003D0E79" w:rsidRPr="00441A26">
                <w:rPr>
                  <w:rStyle w:val="Hyperlink"/>
                </w:rPr>
                <w:t>Getaflex</w:t>
              </w:r>
            </w:hyperlink>
            <w:r w:rsidR="003D0E79" w:rsidRPr="00441A26">
              <w:t xml:space="preserve"> – </w:t>
            </w:r>
            <w:r w:rsidR="00A335B5" w:rsidRPr="00441A26">
              <w:t>J</w:t>
            </w:r>
            <w:r w:rsidR="003D0E79" w:rsidRPr="00441A26">
              <w:t>ob platform focusing on flexible jobs for professionals</w:t>
            </w:r>
          </w:p>
          <w:p w14:paraId="29F611B3" w14:textId="1CF9F759" w:rsidR="003D0E79" w:rsidRPr="00441A26" w:rsidRDefault="00095639" w:rsidP="003D0E79">
            <w:pPr>
              <w:pStyle w:val="ListParagraph"/>
              <w:numPr>
                <w:ilvl w:val="0"/>
                <w:numId w:val="8"/>
              </w:numPr>
              <w:autoSpaceDE w:val="0"/>
              <w:autoSpaceDN w:val="0"/>
              <w:adjustRightInd w:val="0"/>
              <w:rPr>
                <w:color w:val="333332"/>
                <w:lang w:val="en-US"/>
              </w:rPr>
            </w:pPr>
            <w:hyperlink r:id="rId16" w:history="1">
              <w:r w:rsidR="00A335B5" w:rsidRPr="00441A26">
                <w:rPr>
                  <w:rStyle w:val="Hyperlink"/>
                </w:rPr>
                <w:t>Wiseones</w:t>
              </w:r>
            </w:hyperlink>
            <w:r w:rsidR="00A335B5" w:rsidRPr="00441A26">
              <w:t xml:space="preserve"> – Employment platform for those 45+ yrs</w:t>
            </w:r>
          </w:p>
          <w:p w14:paraId="6EB04FD3" w14:textId="6297B24B" w:rsidR="00A335B5" w:rsidRPr="00441A26" w:rsidRDefault="00095639" w:rsidP="003D0E79">
            <w:pPr>
              <w:pStyle w:val="ListParagraph"/>
              <w:numPr>
                <w:ilvl w:val="0"/>
                <w:numId w:val="8"/>
              </w:numPr>
              <w:autoSpaceDE w:val="0"/>
              <w:autoSpaceDN w:val="0"/>
              <w:adjustRightInd w:val="0"/>
              <w:rPr>
                <w:color w:val="333332"/>
                <w:lang w:val="en-US"/>
              </w:rPr>
            </w:pPr>
            <w:hyperlink r:id="rId17" w:history="1">
              <w:r w:rsidR="00A335B5" w:rsidRPr="00441A26">
                <w:rPr>
                  <w:rStyle w:val="Hyperlink"/>
                </w:rPr>
                <w:t>Workbridge</w:t>
              </w:r>
            </w:hyperlink>
            <w:r w:rsidR="00A335B5" w:rsidRPr="00441A26">
              <w:t xml:space="preserve"> - Disability employment</w:t>
            </w:r>
            <w:r w:rsidR="00D043F0" w:rsidRPr="00441A26">
              <w:t xml:space="preserve"> service</w:t>
            </w:r>
          </w:p>
          <w:p w14:paraId="5B7B864D" w14:textId="2358B393" w:rsidR="00A335B5" w:rsidRPr="00441A26" w:rsidRDefault="00095639" w:rsidP="003D0E79">
            <w:pPr>
              <w:pStyle w:val="ListParagraph"/>
              <w:numPr>
                <w:ilvl w:val="0"/>
                <w:numId w:val="8"/>
              </w:numPr>
              <w:autoSpaceDE w:val="0"/>
              <w:autoSpaceDN w:val="0"/>
              <w:adjustRightInd w:val="0"/>
              <w:rPr>
                <w:color w:val="333332"/>
                <w:lang w:val="en-US"/>
              </w:rPr>
            </w:pPr>
            <w:hyperlink r:id="rId18" w:history="1">
              <w:r w:rsidR="0085219A">
                <w:rPr>
                  <w:rStyle w:val="Hyperlink"/>
                  <w:lang w:val="en-US"/>
                </w:rPr>
                <w:t>Workbridge at the University</w:t>
              </w:r>
            </w:hyperlink>
            <w:r w:rsidR="0085219A">
              <w:rPr>
                <w:color w:val="333332"/>
                <w:lang w:val="en-US"/>
              </w:rPr>
              <w:t xml:space="preserve"> </w:t>
            </w:r>
            <w:r w:rsidR="00A335B5" w:rsidRPr="00441A26">
              <w:rPr>
                <w:color w:val="333332"/>
                <w:lang w:val="en-US"/>
              </w:rPr>
              <w:t xml:space="preserve">linking completed or final year UoA </w:t>
            </w:r>
            <w:r w:rsidR="00F6212E" w:rsidRPr="00441A26">
              <w:rPr>
                <w:color w:val="333332"/>
                <w:lang w:val="en-US"/>
              </w:rPr>
              <w:t xml:space="preserve">disabled </w:t>
            </w:r>
            <w:r w:rsidR="00A335B5" w:rsidRPr="00441A26">
              <w:rPr>
                <w:color w:val="333332"/>
                <w:lang w:val="en-US"/>
              </w:rPr>
              <w:t xml:space="preserve">students with </w:t>
            </w:r>
            <w:r w:rsidR="00D14D9C">
              <w:rPr>
                <w:color w:val="333332"/>
                <w:lang w:val="en-US"/>
              </w:rPr>
              <w:t>hiring managers</w:t>
            </w:r>
          </w:p>
          <w:p w14:paraId="599C7FEE" w14:textId="2CD57606" w:rsidR="00A335B5" w:rsidRPr="00441A26" w:rsidRDefault="00095639" w:rsidP="00A335B5">
            <w:pPr>
              <w:pStyle w:val="ListParagraph"/>
              <w:numPr>
                <w:ilvl w:val="0"/>
                <w:numId w:val="8"/>
              </w:numPr>
              <w:autoSpaceDE w:val="0"/>
              <w:autoSpaceDN w:val="0"/>
              <w:adjustRightInd w:val="0"/>
              <w:rPr>
                <w:color w:val="333332"/>
                <w:lang w:val="en-US"/>
              </w:rPr>
            </w:pPr>
            <w:hyperlink r:id="rId19" w:history="1">
              <w:r w:rsidR="00A335B5" w:rsidRPr="00441A26">
                <w:rPr>
                  <w:rStyle w:val="Hyperlink"/>
                </w:rPr>
                <w:t>Mahi.co</w:t>
              </w:r>
            </w:hyperlink>
            <w:r w:rsidR="00A335B5" w:rsidRPr="00441A26">
              <w:t xml:space="preserve"> – Māori recruitment platform</w:t>
            </w:r>
          </w:p>
          <w:p w14:paraId="5C1981FC" w14:textId="68396626" w:rsidR="00A335B5" w:rsidRPr="00D14D9C" w:rsidRDefault="00095639" w:rsidP="00F6212E">
            <w:pPr>
              <w:pStyle w:val="ListParagraph"/>
              <w:numPr>
                <w:ilvl w:val="0"/>
                <w:numId w:val="8"/>
              </w:numPr>
              <w:autoSpaceDE w:val="0"/>
              <w:autoSpaceDN w:val="0"/>
              <w:adjustRightInd w:val="0"/>
              <w:rPr>
                <w:color w:val="333332"/>
                <w:lang w:val="en-US"/>
              </w:rPr>
            </w:pPr>
            <w:hyperlink r:id="rId20" w:history="1">
              <w:r w:rsidR="00A335B5" w:rsidRPr="00441A26">
                <w:rPr>
                  <w:rStyle w:val="Hyperlink"/>
                </w:rPr>
                <w:t>Mana Recruitment</w:t>
              </w:r>
            </w:hyperlink>
            <w:r w:rsidR="00F6212E" w:rsidRPr="00441A26">
              <w:t xml:space="preserve"> – Māori recruitment</w:t>
            </w:r>
            <w:r w:rsidR="00D043F0" w:rsidRPr="00441A26">
              <w:t xml:space="preserve"> platform</w:t>
            </w:r>
          </w:p>
          <w:p w14:paraId="7D10B750" w14:textId="316D6457" w:rsidR="00D14D9C" w:rsidRPr="00D14D9C" w:rsidRDefault="00095639" w:rsidP="00D14D9C">
            <w:pPr>
              <w:pStyle w:val="ListParagraph"/>
              <w:numPr>
                <w:ilvl w:val="0"/>
                <w:numId w:val="8"/>
              </w:numPr>
              <w:autoSpaceDE w:val="0"/>
              <w:autoSpaceDN w:val="0"/>
              <w:adjustRightInd w:val="0"/>
              <w:rPr>
                <w:color w:val="333332"/>
                <w:lang w:val="en-US"/>
              </w:rPr>
            </w:pPr>
            <w:hyperlink r:id="rId21" w:history="1">
              <w:r w:rsidR="00D14D9C" w:rsidRPr="00441A26">
                <w:rPr>
                  <w:rStyle w:val="Hyperlink"/>
                </w:rPr>
                <w:t>Maori and Pacific Jobs</w:t>
              </w:r>
            </w:hyperlink>
          </w:p>
          <w:p w14:paraId="1A9AD9FF" w14:textId="1C20AE80" w:rsidR="004A1550" w:rsidRPr="00441A26" w:rsidRDefault="004A1550" w:rsidP="004A6A70"/>
        </w:tc>
      </w:tr>
      <w:tr w:rsidR="009541DC" w:rsidRPr="00441A26" w14:paraId="27F04BA3" w14:textId="77777777" w:rsidTr="004A1550">
        <w:tc>
          <w:tcPr>
            <w:tcW w:w="2972" w:type="dxa"/>
          </w:tcPr>
          <w:p w14:paraId="64B86D0B" w14:textId="58F9C11D" w:rsidR="009541DC" w:rsidRPr="00441A26" w:rsidRDefault="009541DC" w:rsidP="009541DC">
            <w:bookmarkStart w:id="0" w:name="_Hlk71287376"/>
            <w:r w:rsidRPr="00441A26">
              <w:t>Target the advertisement in order to encourage Māori or equity group members to apply</w:t>
            </w:r>
          </w:p>
        </w:tc>
        <w:tc>
          <w:tcPr>
            <w:tcW w:w="6044" w:type="dxa"/>
          </w:tcPr>
          <w:p w14:paraId="7E2EB19D" w14:textId="77777777" w:rsidR="009541DC" w:rsidRPr="00441A26" w:rsidRDefault="009541DC" w:rsidP="009541DC">
            <w:r w:rsidRPr="00441A26">
              <w:rPr>
                <w:b/>
                <w:bCs/>
              </w:rPr>
              <w:t>Case Study</w:t>
            </w:r>
            <w:r w:rsidRPr="00441A26">
              <w:t xml:space="preserve"> </w:t>
            </w:r>
          </w:p>
          <w:p w14:paraId="6060C0D4" w14:textId="244B841D" w:rsidR="009541DC" w:rsidRPr="00441A26" w:rsidRDefault="009541DC" w:rsidP="009541DC">
            <w:pPr>
              <w:ind w:left="314"/>
              <w:rPr>
                <w:color w:val="0070C0"/>
              </w:rPr>
            </w:pPr>
            <w:r w:rsidRPr="00441A26">
              <w:rPr>
                <w:color w:val="0070C0"/>
              </w:rPr>
              <w:t>A modified advertisement encouraging people with disabilities to apply,</w:t>
            </w:r>
            <w:r w:rsidR="00994DCE">
              <w:rPr>
                <w:color w:val="0070C0"/>
              </w:rPr>
              <w:t xml:space="preserve"> led </w:t>
            </w:r>
            <w:r w:rsidRPr="00441A26">
              <w:rPr>
                <w:color w:val="0070C0"/>
              </w:rPr>
              <w:t>to more people with disability applying</w:t>
            </w:r>
            <w:r w:rsidR="0040331A" w:rsidRPr="00441A26">
              <w:rPr>
                <w:rStyle w:val="FootnoteReference"/>
                <w:color w:val="0070C0"/>
              </w:rPr>
              <w:footnoteReference w:id="8"/>
            </w:r>
          </w:p>
          <w:p w14:paraId="123C21FB" w14:textId="77777777" w:rsidR="009541DC" w:rsidRPr="00441A26" w:rsidRDefault="009541DC" w:rsidP="0040331A">
            <w:pPr>
              <w:ind w:left="314"/>
            </w:pPr>
          </w:p>
        </w:tc>
      </w:tr>
      <w:tr w:rsidR="009541DC" w:rsidRPr="00441A26" w14:paraId="616FCCC2" w14:textId="77777777" w:rsidTr="004A1550">
        <w:tc>
          <w:tcPr>
            <w:tcW w:w="2972" w:type="dxa"/>
          </w:tcPr>
          <w:p w14:paraId="4F9BDC7E" w14:textId="749D69D7" w:rsidR="009541DC" w:rsidRPr="00441A26" w:rsidRDefault="009541DC" w:rsidP="009541DC">
            <w:r w:rsidRPr="00441A26">
              <w:t>Introduce Special Measures to ensure equal outcomes</w:t>
            </w:r>
          </w:p>
        </w:tc>
        <w:tc>
          <w:tcPr>
            <w:tcW w:w="6044" w:type="dxa"/>
          </w:tcPr>
          <w:p w14:paraId="05CEEAA6" w14:textId="77777777" w:rsidR="009541DC" w:rsidRPr="0027473B" w:rsidRDefault="00095639" w:rsidP="009541DC">
            <w:pPr>
              <w:autoSpaceDE w:val="0"/>
              <w:autoSpaceDN w:val="0"/>
              <w:adjustRightInd w:val="0"/>
              <w:rPr>
                <w:color w:val="auto"/>
                <w:lang w:val="en-US"/>
              </w:rPr>
            </w:pPr>
            <w:hyperlink r:id="rId22" w:history="1">
              <w:r w:rsidR="009541DC" w:rsidRPr="00441A26">
                <w:rPr>
                  <w:rStyle w:val="Hyperlink"/>
                </w:rPr>
                <w:t>Positive actions to achieve equality</w:t>
              </w:r>
            </w:hyperlink>
            <w:r w:rsidR="009541DC" w:rsidRPr="00441A26">
              <w:rPr>
                <w:color w:val="3864A2"/>
                <w:lang w:val="en-US"/>
              </w:rPr>
              <w:t xml:space="preserve"> </w:t>
            </w:r>
            <w:r w:rsidR="009541DC" w:rsidRPr="0027473B">
              <w:rPr>
                <w:color w:val="auto"/>
                <w:lang w:val="en-US"/>
              </w:rPr>
              <w:t>(special measures) are</w:t>
            </w:r>
          </w:p>
          <w:p w14:paraId="6E0C9C99" w14:textId="77777777" w:rsidR="009541DC" w:rsidRPr="0027473B" w:rsidRDefault="009541DC" w:rsidP="009541DC">
            <w:pPr>
              <w:autoSpaceDE w:val="0"/>
              <w:autoSpaceDN w:val="0"/>
              <w:adjustRightInd w:val="0"/>
              <w:rPr>
                <w:color w:val="auto"/>
                <w:lang w:val="en-US"/>
              </w:rPr>
            </w:pPr>
            <w:r w:rsidRPr="0027473B">
              <w:rPr>
                <w:color w:val="auto"/>
                <w:lang w:val="en-US"/>
              </w:rPr>
              <w:t>permissible under the New Zealand Bill of Rights Act 1990</w:t>
            </w:r>
          </w:p>
          <w:p w14:paraId="74E07F8E" w14:textId="77777777" w:rsidR="009541DC" w:rsidRPr="0027473B" w:rsidRDefault="009541DC" w:rsidP="009541DC">
            <w:pPr>
              <w:autoSpaceDE w:val="0"/>
              <w:autoSpaceDN w:val="0"/>
              <w:adjustRightInd w:val="0"/>
              <w:rPr>
                <w:color w:val="auto"/>
                <w:lang w:val="en-US"/>
              </w:rPr>
            </w:pPr>
            <w:r w:rsidRPr="0027473B">
              <w:rPr>
                <w:color w:val="auto"/>
                <w:lang w:val="en-US"/>
              </w:rPr>
              <w:lastRenderedPageBreak/>
              <w:t>s 19 (2) and the Human Rights Act s73 (1) under certain</w:t>
            </w:r>
          </w:p>
          <w:p w14:paraId="638A7307" w14:textId="77777777" w:rsidR="009541DC" w:rsidRPr="0027473B" w:rsidRDefault="009541DC" w:rsidP="009541DC">
            <w:pPr>
              <w:autoSpaceDE w:val="0"/>
              <w:autoSpaceDN w:val="0"/>
              <w:adjustRightInd w:val="0"/>
              <w:rPr>
                <w:color w:val="auto"/>
                <w:lang w:val="en-US"/>
              </w:rPr>
            </w:pPr>
            <w:r w:rsidRPr="0027473B">
              <w:rPr>
                <w:color w:val="auto"/>
                <w:lang w:val="en-US"/>
              </w:rPr>
              <w:t>conditions and are intended to be temporary. These are used to ensure equal outcomes rather than equal treatment</w:t>
            </w:r>
            <w:r w:rsidRPr="0027473B">
              <w:rPr>
                <w:rStyle w:val="FootnoteReference"/>
                <w:color w:val="auto"/>
                <w:lang w:val="en-US"/>
              </w:rPr>
              <w:footnoteReference w:id="9"/>
            </w:r>
            <w:r w:rsidRPr="0027473B">
              <w:rPr>
                <w:color w:val="auto"/>
                <w:lang w:val="en-US"/>
              </w:rPr>
              <w:t xml:space="preserve"> a</w:t>
            </w:r>
            <w:r w:rsidRPr="0027473B">
              <w:rPr>
                <w:color w:val="auto"/>
                <w:shd w:val="clear" w:color="auto" w:fill="FFFFFF"/>
              </w:rPr>
              <w:t>nd are based on information that shows that the present position is unequal.</w:t>
            </w:r>
          </w:p>
          <w:p w14:paraId="516BCAE7" w14:textId="77777777" w:rsidR="009541DC" w:rsidRPr="00441A26" w:rsidRDefault="009541DC" w:rsidP="009541DC">
            <w:pPr>
              <w:autoSpaceDE w:val="0"/>
              <w:autoSpaceDN w:val="0"/>
              <w:adjustRightInd w:val="0"/>
              <w:rPr>
                <w:color w:val="333332"/>
                <w:lang w:val="en-US"/>
              </w:rPr>
            </w:pPr>
          </w:p>
          <w:p w14:paraId="2F53E752" w14:textId="77777777" w:rsidR="009541DC" w:rsidRPr="00441A26" w:rsidRDefault="009541DC" w:rsidP="009541DC">
            <w:pPr>
              <w:autoSpaceDE w:val="0"/>
              <w:autoSpaceDN w:val="0"/>
              <w:adjustRightInd w:val="0"/>
              <w:rPr>
                <w:b/>
                <w:bCs/>
                <w:color w:val="333332"/>
                <w:lang w:val="en-US"/>
              </w:rPr>
            </w:pPr>
            <w:r w:rsidRPr="00441A26">
              <w:rPr>
                <w:b/>
                <w:bCs/>
                <w:color w:val="333332"/>
                <w:lang w:val="en-US"/>
              </w:rPr>
              <w:t>Example:</w:t>
            </w:r>
          </w:p>
          <w:p w14:paraId="40DE01BE" w14:textId="4C882B44" w:rsidR="009541DC" w:rsidRDefault="009541DC" w:rsidP="009541DC">
            <w:pPr>
              <w:autoSpaceDE w:val="0"/>
              <w:autoSpaceDN w:val="0"/>
              <w:adjustRightInd w:val="0"/>
              <w:ind w:left="314"/>
              <w:rPr>
                <w:color w:val="0070C0"/>
              </w:rPr>
            </w:pPr>
            <w:r w:rsidRPr="00441A26">
              <w:rPr>
                <w:color w:val="0070C0"/>
                <w:lang w:val="en-US"/>
              </w:rPr>
              <w:t>If a faculty is significantly under-represented with M</w:t>
            </w:r>
            <w:r w:rsidRPr="00441A26">
              <w:rPr>
                <w:color w:val="0070C0"/>
              </w:rPr>
              <w:t>āori academic staff they may be able to advertise specifically for a Māori lecturer.</w:t>
            </w:r>
          </w:p>
          <w:p w14:paraId="169DA85D" w14:textId="0018093B" w:rsidR="000A4C80" w:rsidRPr="000A4C80" w:rsidRDefault="00B3789E" w:rsidP="000A4C80">
            <w:pPr>
              <w:autoSpaceDE w:val="0"/>
              <w:autoSpaceDN w:val="0"/>
              <w:adjustRightInd w:val="0"/>
              <w:rPr>
                <w:color w:val="auto"/>
              </w:rPr>
            </w:pPr>
            <w:r w:rsidRPr="00B3789E">
              <w:rPr>
                <w:b/>
                <w:bCs/>
                <w:color w:val="auto"/>
              </w:rPr>
              <w:t>See Step 2</w:t>
            </w:r>
            <w:r w:rsidR="00B475A8">
              <w:rPr>
                <w:b/>
                <w:bCs/>
                <w:color w:val="auto"/>
              </w:rPr>
              <w:t>:</w:t>
            </w:r>
            <w:r w:rsidRPr="00B3789E">
              <w:rPr>
                <w:b/>
                <w:bCs/>
                <w:color w:val="auto"/>
              </w:rPr>
              <w:t xml:space="preserve"> Scoping the Job</w:t>
            </w:r>
            <w:r>
              <w:rPr>
                <w:b/>
                <w:bCs/>
                <w:color w:val="auto"/>
              </w:rPr>
              <w:t xml:space="preserve"> </w:t>
            </w:r>
            <w:r>
              <w:rPr>
                <w:color w:val="auto"/>
              </w:rPr>
              <w:t>for more detail</w:t>
            </w:r>
            <w:r w:rsidR="000A4C80">
              <w:rPr>
                <w:color w:val="auto"/>
              </w:rPr>
              <w:t xml:space="preserve"> and discuss with HR.</w:t>
            </w:r>
          </w:p>
          <w:p w14:paraId="2966A25F" w14:textId="77777777" w:rsidR="009541DC" w:rsidRPr="00441A26" w:rsidRDefault="009541DC" w:rsidP="009541DC">
            <w:pPr>
              <w:pStyle w:val="ListParagraph"/>
            </w:pPr>
          </w:p>
        </w:tc>
      </w:tr>
      <w:bookmarkEnd w:id="0"/>
      <w:tr w:rsidR="002A73A4" w:rsidRPr="00441A26" w14:paraId="605CE23D" w14:textId="77777777" w:rsidTr="004A1550">
        <w:tc>
          <w:tcPr>
            <w:tcW w:w="2972" w:type="dxa"/>
          </w:tcPr>
          <w:p w14:paraId="7EBE99CE" w14:textId="55FC8D15" w:rsidR="002A73A4" w:rsidRPr="00441A26" w:rsidRDefault="008B603F">
            <w:r w:rsidRPr="00441A26">
              <w:lastRenderedPageBreak/>
              <w:t xml:space="preserve">Ensure </w:t>
            </w:r>
            <w:r w:rsidR="003D1610" w:rsidRPr="00441A26">
              <w:t>recruitment process is accessible to all</w:t>
            </w:r>
          </w:p>
        </w:tc>
        <w:tc>
          <w:tcPr>
            <w:tcW w:w="6044" w:type="dxa"/>
          </w:tcPr>
          <w:p w14:paraId="3FC8FEA8" w14:textId="63CC5746" w:rsidR="003D1610" w:rsidRPr="00441A26" w:rsidRDefault="003D1610" w:rsidP="00C83405">
            <w:pPr>
              <w:pStyle w:val="ListParagraph"/>
              <w:numPr>
                <w:ilvl w:val="0"/>
                <w:numId w:val="9"/>
              </w:numPr>
              <w:ind w:left="360"/>
            </w:pPr>
            <w:r w:rsidRPr="00441A26">
              <w:t>Advertise in a variety of formats; online, print, radio, equity group organisations</w:t>
            </w:r>
            <w:r w:rsidR="0040331A" w:rsidRPr="00441A26">
              <w:t>, etc</w:t>
            </w:r>
          </w:p>
          <w:p w14:paraId="0CF81F62" w14:textId="77777777" w:rsidR="0040331A" w:rsidRPr="00441A26" w:rsidRDefault="003D1610" w:rsidP="0040331A">
            <w:pPr>
              <w:pStyle w:val="ListParagraph"/>
              <w:numPr>
                <w:ilvl w:val="0"/>
                <w:numId w:val="9"/>
              </w:numPr>
              <w:ind w:left="360"/>
            </w:pPr>
            <w:r w:rsidRPr="00441A26">
              <w:t>Check all methods for advertising and all links and images included are accessible to people with disabilities</w:t>
            </w:r>
          </w:p>
          <w:p w14:paraId="1C6237B4" w14:textId="43897FC9" w:rsidR="009541DC" w:rsidRPr="00441A26" w:rsidRDefault="009541DC" w:rsidP="0040331A">
            <w:pPr>
              <w:pStyle w:val="ListParagraph"/>
              <w:numPr>
                <w:ilvl w:val="0"/>
                <w:numId w:val="9"/>
              </w:numPr>
              <w:ind w:left="360"/>
            </w:pPr>
            <w:r w:rsidRPr="00441A26">
              <w:t xml:space="preserve">Use the </w:t>
            </w:r>
            <w:hyperlink r:id="rId23" w:history="1">
              <w:r w:rsidRPr="00441A26">
                <w:rPr>
                  <w:rStyle w:val="Hyperlink"/>
                </w:rPr>
                <w:t>Accessibility Checker</w:t>
              </w:r>
            </w:hyperlink>
          </w:p>
          <w:p w14:paraId="5D404967" w14:textId="12600187" w:rsidR="0013178B" w:rsidRPr="00441A26" w:rsidRDefault="003D1610" w:rsidP="00C83405">
            <w:pPr>
              <w:pStyle w:val="ListParagraph"/>
              <w:numPr>
                <w:ilvl w:val="0"/>
                <w:numId w:val="9"/>
              </w:numPr>
              <w:ind w:left="360"/>
            </w:pPr>
            <w:r w:rsidRPr="00441A26">
              <w:t>Ensure applications can be made in a variety of formats; online, print, etc</w:t>
            </w:r>
          </w:p>
          <w:p w14:paraId="711F7F20" w14:textId="18D2986F" w:rsidR="003D1610" w:rsidRPr="00441A26" w:rsidRDefault="003D1610" w:rsidP="003D1610">
            <w:pPr>
              <w:pStyle w:val="ListParagraph"/>
            </w:pPr>
          </w:p>
        </w:tc>
      </w:tr>
      <w:tr w:rsidR="003D1610" w:rsidRPr="00441A26" w14:paraId="6799B89D" w14:textId="77777777" w:rsidTr="004A1550">
        <w:tc>
          <w:tcPr>
            <w:tcW w:w="2972" w:type="dxa"/>
          </w:tcPr>
          <w:p w14:paraId="297B68A9" w14:textId="0E58E917" w:rsidR="003D1610" w:rsidRPr="00441A26" w:rsidRDefault="003D1610">
            <w:r w:rsidRPr="00441A26">
              <w:t>Ensure recruitment consultants and agencies actively implement equity practices</w:t>
            </w:r>
          </w:p>
        </w:tc>
        <w:tc>
          <w:tcPr>
            <w:tcW w:w="6044" w:type="dxa"/>
          </w:tcPr>
          <w:p w14:paraId="577642DF" w14:textId="286A0F56" w:rsidR="003D1610" w:rsidRPr="00441A26" w:rsidRDefault="00C83405" w:rsidP="00C83405">
            <w:pPr>
              <w:pStyle w:val="ListParagraph"/>
              <w:numPr>
                <w:ilvl w:val="0"/>
                <w:numId w:val="9"/>
              </w:numPr>
              <w:ind w:left="314"/>
            </w:pPr>
            <w:r w:rsidRPr="00441A26">
              <w:t xml:space="preserve">Only use </w:t>
            </w:r>
            <w:r w:rsidR="003D1610" w:rsidRPr="00441A26">
              <w:t xml:space="preserve">consultants </w:t>
            </w:r>
            <w:r w:rsidRPr="00441A26">
              <w:t>who</w:t>
            </w:r>
            <w:r w:rsidR="00DD43C7" w:rsidRPr="00441A26">
              <w:t xml:space="preserve"> can demonstrate their processes are free from bias and who</w:t>
            </w:r>
            <w:r w:rsidRPr="00441A26">
              <w:t xml:space="preserve"> actively </w:t>
            </w:r>
            <w:r w:rsidR="003D1610" w:rsidRPr="00441A26">
              <w:t>seek Māori, women and equity groups</w:t>
            </w:r>
          </w:p>
          <w:p w14:paraId="2722BECB" w14:textId="77777777" w:rsidR="00D10BA6" w:rsidRPr="00D10BA6" w:rsidRDefault="003D1610" w:rsidP="00D10BA6">
            <w:pPr>
              <w:pStyle w:val="ListParagraph"/>
              <w:numPr>
                <w:ilvl w:val="0"/>
                <w:numId w:val="9"/>
              </w:numPr>
              <w:ind w:left="314"/>
              <w:rPr>
                <w:rStyle w:val="Hyperlink"/>
                <w:color w:val="4A4C4C"/>
                <w:u w:val="none"/>
              </w:rPr>
            </w:pPr>
            <w:r w:rsidRPr="00441A26">
              <w:t xml:space="preserve">Check consultants understand and practice </w:t>
            </w:r>
            <w:hyperlink r:id="rId24" w:history="1">
              <w:r w:rsidRPr="00441A26">
                <w:rPr>
                  <w:rStyle w:val="Hyperlink"/>
                </w:rPr>
                <w:t xml:space="preserve">reasonable accommodation </w:t>
              </w:r>
            </w:hyperlink>
          </w:p>
          <w:p w14:paraId="7E6AF082" w14:textId="227CC1C7" w:rsidR="00D10BA6" w:rsidRPr="00441A26" w:rsidRDefault="00D10BA6" w:rsidP="00D10BA6">
            <w:pPr>
              <w:pStyle w:val="ListParagraph"/>
              <w:ind w:left="314"/>
            </w:pPr>
          </w:p>
        </w:tc>
      </w:tr>
    </w:tbl>
    <w:p w14:paraId="4159F05E" w14:textId="77777777" w:rsidR="00AB2569" w:rsidRPr="00441A26" w:rsidRDefault="00AB2569" w:rsidP="00D10BA6"/>
    <w:sectPr w:rsidR="00AB2569" w:rsidRPr="00441A26">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6FB3A" w14:textId="77777777" w:rsidR="00190476" w:rsidRDefault="00190476" w:rsidP="00190476">
      <w:pPr>
        <w:spacing w:after="0" w:line="240" w:lineRule="auto"/>
      </w:pPr>
      <w:r>
        <w:separator/>
      </w:r>
    </w:p>
  </w:endnote>
  <w:endnote w:type="continuationSeparator" w:id="0">
    <w:p w14:paraId="2308BAFA" w14:textId="77777777" w:rsidR="00190476" w:rsidRDefault="00190476" w:rsidP="0019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VIC SemiBold">
    <w:altName w:val="Calibri"/>
    <w:panose1 w:val="00000000000000000000"/>
    <w:charset w:val="00"/>
    <w:family w:val="swiss"/>
    <w:notTrueType/>
    <w:pitch w:val="default"/>
    <w:sig w:usb0="00000003" w:usb1="00000000" w:usb2="00000000" w:usb3="00000000" w:csb0="00000001" w:csb1="00000000"/>
  </w:font>
  <w:font w:name="VIC Light">
    <w:altName w:val="VIC Light"/>
    <w:panose1 w:val="00000000000000000000"/>
    <w:charset w:val="00"/>
    <w:family w:val="swiss"/>
    <w:notTrueType/>
    <w:pitch w:val="default"/>
    <w:sig w:usb0="00000003" w:usb1="00000000" w:usb2="00000000" w:usb3="00000000" w:csb0="00000001" w:csb1="00000000"/>
  </w:font>
  <w:font w:name="VIC">
    <w:altName w:val="VIC"/>
    <w:panose1 w:val="00000000000000000000"/>
    <w:charset w:val="00"/>
    <w:family w:val="swiss"/>
    <w:notTrueType/>
    <w:pitch w:val="default"/>
    <w:sig w:usb0="00000003" w:usb1="00000000" w:usb2="00000000" w:usb3="00000000" w:csb0="00000001" w:csb1="00000000"/>
  </w:font>
  <w:font w:name="ZZZEBI+VIC-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C5784" w14:textId="77777777" w:rsidR="00506032" w:rsidRDefault="00506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AD2B" w14:textId="139886D3" w:rsidR="005E2492" w:rsidRDefault="00095639">
    <w:pPr>
      <w:pStyle w:val="Footer"/>
    </w:pPr>
    <w:r>
      <w:rPr>
        <w:color w:val="auto"/>
      </w:rPr>
      <w:t xml:space="preserve">University of Auckland </w:t>
    </w:r>
    <w:r w:rsidR="005E2492">
      <w:t>Equity Office 2021</w:t>
    </w:r>
  </w:p>
  <w:p w14:paraId="489ED03E" w14:textId="77777777" w:rsidR="005E2492" w:rsidRDefault="005E2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85F1" w14:textId="77777777" w:rsidR="00506032" w:rsidRDefault="00506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BECA4" w14:textId="77777777" w:rsidR="00190476" w:rsidRDefault="00190476" w:rsidP="00190476">
      <w:pPr>
        <w:spacing w:after="0" w:line="240" w:lineRule="auto"/>
      </w:pPr>
      <w:r>
        <w:separator/>
      </w:r>
    </w:p>
  </w:footnote>
  <w:footnote w:type="continuationSeparator" w:id="0">
    <w:p w14:paraId="5C829508" w14:textId="77777777" w:rsidR="00190476" w:rsidRDefault="00190476" w:rsidP="00190476">
      <w:pPr>
        <w:spacing w:after="0" w:line="240" w:lineRule="auto"/>
      </w:pPr>
      <w:r>
        <w:continuationSeparator/>
      </w:r>
    </w:p>
  </w:footnote>
  <w:footnote w:id="1">
    <w:p w14:paraId="5DBEF0AF" w14:textId="77777777" w:rsidR="000C1C5A" w:rsidRPr="0079144C" w:rsidRDefault="000C1C5A" w:rsidP="000C1C5A">
      <w:pPr>
        <w:pStyle w:val="FootnoteText"/>
        <w:rPr>
          <w:sz w:val="16"/>
          <w:szCs w:val="16"/>
        </w:rPr>
      </w:pPr>
      <w:r w:rsidRPr="0079144C">
        <w:rPr>
          <w:rStyle w:val="FootnoteReference"/>
          <w:sz w:val="16"/>
          <w:szCs w:val="16"/>
        </w:rPr>
        <w:footnoteRef/>
      </w:r>
      <w:r w:rsidRPr="0079144C">
        <w:rPr>
          <w:sz w:val="16"/>
          <w:szCs w:val="16"/>
        </w:rPr>
        <w:t xml:space="preserve"> </w:t>
      </w:r>
      <w:r w:rsidRPr="0079144C">
        <w:rPr>
          <w:rStyle w:val="A11"/>
          <w:sz w:val="16"/>
          <w:szCs w:val="16"/>
        </w:rPr>
        <w:t>SEEK</w:t>
      </w:r>
      <w:r w:rsidRPr="0079144C">
        <w:rPr>
          <w:rStyle w:val="A11"/>
          <w:rFonts w:ascii="ZZZEBI+VIC-Italic" w:hAnsi="ZZZEBI+VIC-Italic" w:cs="ZZZEBI+VIC-Italic"/>
          <w:i/>
          <w:iCs/>
          <w:sz w:val="16"/>
          <w:szCs w:val="16"/>
        </w:rPr>
        <w:t>, Laws of Attraction</w:t>
      </w:r>
      <w:r w:rsidRPr="0079144C">
        <w:rPr>
          <w:rStyle w:val="A11"/>
          <w:sz w:val="16"/>
          <w:szCs w:val="16"/>
        </w:rPr>
        <w:t>, 2017; https://insightsresources.seek.com.au/lawsofattraction</w:t>
      </w:r>
    </w:p>
  </w:footnote>
  <w:footnote w:id="2">
    <w:p w14:paraId="722F5C02" w14:textId="37BA48C1" w:rsidR="0079144C" w:rsidRPr="0079144C" w:rsidRDefault="0079144C" w:rsidP="0079144C">
      <w:pPr>
        <w:rPr>
          <w:sz w:val="16"/>
          <w:szCs w:val="16"/>
        </w:rPr>
      </w:pPr>
      <w:r w:rsidRPr="0079144C">
        <w:rPr>
          <w:rStyle w:val="FootnoteReference"/>
          <w:sz w:val="16"/>
          <w:szCs w:val="16"/>
        </w:rPr>
        <w:footnoteRef/>
      </w:r>
      <w:r w:rsidRPr="0079144C">
        <w:rPr>
          <w:sz w:val="16"/>
          <w:szCs w:val="16"/>
        </w:rPr>
        <w:t xml:space="preserve"> </w:t>
      </w:r>
      <w:hyperlink r:id="rId1" w:anchor="page=46" w:history="1">
        <w:r w:rsidRPr="0079144C">
          <w:rPr>
            <w:rStyle w:val="Hyperlink"/>
            <w:sz w:val="16"/>
            <w:szCs w:val="16"/>
          </w:rPr>
          <w:t>Gender in academic recruitment and selection, Drew &amp; Canavan 2020</w:t>
        </w:r>
      </w:hyperlink>
    </w:p>
    <w:p w14:paraId="117F1850" w14:textId="1D496451" w:rsidR="0079144C" w:rsidRDefault="0079144C">
      <w:pPr>
        <w:pStyle w:val="FootnoteText"/>
      </w:pPr>
      <w:r>
        <w:t xml:space="preserve"> </w:t>
      </w:r>
    </w:p>
  </w:footnote>
  <w:footnote w:id="3">
    <w:p w14:paraId="0C361B4C" w14:textId="2EDD2AF2" w:rsidR="00AA486D" w:rsidRPr="0079144C" w:rsidRDefault="00AA486D">
      <w:pPr>
        <w:pStyle w:val="FootnoteText"/>
        <w:rPr>
          <w:sz w:val="16"/>
          <w:szCs w:val="16"/>
        </w:rPr>
      </w:pPr>
      <w:r w:rsidRPr="0079144C">
        <w:rPr>
          <w:rStyle w:val="FootnoteReference"/>
          <w:sz w:val="16"/>
          <w:szCs w:val="16"/>
        </w:rPr>
        <w:footnoteRef/>
      </w:r>
      <w:r w:rsidRPr="0079144C">
        <w:rPr>
          <w:sz w:val="16"/>
          <w:szCs w:val="16"/>
        </w:rPr>
        <w:t xml:space="preserve"> </w:t>
      </w:r>
      <w:hyperlink r:id="rId2" w:history="1">
        <w:r w:rsidR="00983782" w:rsidRPr="0079144C">
          <w:rPr>
            <w:rStyle w:val="Hyperlink"/>
            <w:sz w:val="16"/>
            <w:szCs w:val="16"/>
          </w:rPr>
          <w:t>https://gap.hks.harvard.edu/evidence-gendered-wording-job-advertisements-exists-and-sustains-gender-inequality</w:t>
        </w:r>
      </w:hyperlink>
    </w:p>
  </w:footnote>
  <w:footnote w:id="4">
    <w:p w14:paraId="2517FBF4" w14:textId="5EAEE848" w:rsidR="004C06F6" w:rsidRPr="001245BF" w:rsidRDefault="004C06F6">
      <w:pPr>
        <w:pStyle w:val="FootnoteText"/>
        <w:rPr>
          <w:sz w:val="16"/>
          <w:szCs w:val="16"/>
        </w:rPr>
      </w:pPr>
      <w:r w:rsidRPr="0079144C">
        <w:rPr>
          <w:rStyle w:val="FootnoteReference"/>
          <w:sz w:val="16"/>
          <w:szCs w:val="16"/>
        </w:rPr>
        <w:footnoteRef/>
      </w:r>
      <w:r w:rsidRPr="0079144C">
        <w:rPr>
          <w:sz w:val="16"/>
          <w:szCs w:val="16"/>
        </w:rPr>
        <w:t xml:space="preserve"> </w:t>
      </w:r>
      <w:r w:rsidRPr="001245BF">
        <w:rPr>
          <w:rStyle w:val="A11"/>
          <w:rFonts w:cs="Segoe UI"/>
          <w:sz w:val="16"/>
          <w:szCs w:val="16"/>
        </w:rPr>
        <w:t>SEEK</w:t>
      </w:r>
      <w:r w:rsidRPr="001245BF">
        <w:rPr>
          <w:rStyle w:val="A11"/>
          <w:rFonts w:cs="Segoe UI"/>
          <w:i/>
          <w:iCs/>
          <w:sz w:val="16"/>
          <w:szCs w:val="16"/>
        </w:rPr>
        <w:t>, Laws of Attraction</w:t>
      </w:r>
      <w:r w:rsidRPr="001245BF">
        <w:rPr>
          <w:rStyle w:val="A11"/>
          <w:rFonts w:cs="Segoe UI"/>
          <w:sz w:val="16"/>
          <w:szCs w:val="16"/>
        </w:rPr>
        <w:t>, 2017; https://insightsresources.seek.com.au/lawsofattraction.</w:t>
      </w:r>
    </w:p>
  </w:footnote>
  <w:footnote w:id="5">
    <w:p w14:paraId="0C6833FE" w14:textId="3FD382EA" w:rsidR="001245BF" w:rsidRDefault="001245BF">
      <w:pPr>
        <w:pStyle w:val="FootnoteText"/>
      </w:pPr>
      <w:r w:rsidRPr="001245BF">
        <w:rPr>
          <w:rStyle w:val="FootnoteReference"/>
          <w:sz w:val="16"/>
          <w:szCs w:val="16"/>
        </w:rPr>
        <w:footnoteRef/>
      </w:r>
      <w:r w:rsidRPr="001245BF">
        <w:rPr>
          <w:sz w:val="16"/>
          <w:szCs w:val="16"/>
        </w:rPr>
        <w:t xml:space="preserve"> </w:t>
      </w:r>
      <w:hyperlink r:id="rId3" w:history="1">
        <w:r w:rsidRPr="001245BF">
          <w:rPr>
            <w:rStyle w:val="Hyperlink"/>
            <w:sz w:val="16"/>
            <w:szCs w:val="16"/>
          </w:rPr>
          <w:t>Recruit Smarter - Technical Report.pdf (unimelb.edu.au)</w:t>
        </w:r>
      </w:hyperlink>
    </w:p>
  </w:footnote>
  <w:footnote w:id="6">
    <w:p w14:paraId="08555353" w14:textId="7E2CF32B" w:rsidR="003A61AB" w:rsidRDefault="003A61AB">
      <w:pPr>
        <w:pStyle w:val="FootnoteText"/>
      </w:pPr>
      <w:r w:rsidRPr="0079144C">
        <w:rPr>
          <w:rStyle w:val="FootnoteReference"/>
          <w:sz w:val="16"/>
          <w:szCs w:val="16"/>
        </w:rPr>
        <w:footnoteRef/>
      </w:r>
      <w:r w:rsidRPr="0079144C">
        <w:rPr>
          <w:sz w:val="16"/>
          <w:szCs w:val="16"/>
        </w:rPr>
        <w:t xml:space="preserve"> </w:t>
      </w:r>
      <w:r w:rsidRPr="0079144C">
        <w:rPr>
          <w:rStyle w:val="A11"/>
          <w:sz w:val="16"/>
          <w:szCs w:val="16"/>
        </w:rPr>
        <w:t xml:space="preserve">Deloitte Australia, </w:t>
      </w:r>
      <w:r w:rsidRPr="0079144C">
        <w:rPr>
          <w:rStyle w:val="A11"/>
          <w:rFonts w:ascii="ZZZEBI+VIC-Italic" w:hAnsi="ZZZEBI+VIC-Italic" w:cs="ZZZEBI+VIC-Italic"/>
          <w:i/>
          <w:iCs/>
          <w:sz w:val="16"/>
          <w:szCs w:val="16"/>
        </w:rPr>
        <w:t xml:space="preserve">Play to Win: How gamification can give companies an edge in innovation and strategy execution, </w:t>
      </w:r>
      <w:r w:rsidRPr="0079144C">
        <w:rPr>
          <w:rStyle w:val="A11"/>
          <w:sz w:val="16"/>
          <w:szCs w:val="16"/>
        </w:rPr>
        <w:t>2017; http://blog.deloitte.com.au/play-to-win-how-gamification-can-give-companies-an-edge-in-innovation-and-strategy-execution/.</w:t>
      </w:r>
    </w:p>
  </w:footnote>
  <w:footnote w:id="7">
    <w:p w14:paraId="387EC3C6" w14:textId="4A36E9FF" w:rsidR="00D14D9C" w:rsidRPr="004D3AC8" w:rsidRDefault="00D14D9C" w:rsidP="00D14D9C">
      <w:pPr>
        <w:pStyle w:val="ListParagraph"/>
        <w:numPr>
          <w:ilvl w:val="0"/>
          <w:numId w:val="7"/>
        </w:numPr>
      </w:pPr>
      <w:r>
        <w:rPr>
          <w:rStyle w:val="FootnoteReference"/>
        </w:rPr>
        <w:footnoteRef/>
      </w:r>
      <w:r>
        <w:t xml:space="preserve"> </w:t>
      </w:r>
      <w:r w:rsidRPr="004D3AC8">
        <w:t>“</w:t>
      </w:r>
      <w:r w:rsidRPr="004D3AC8">
        <w:rPr>
          <w:i/>
          <w:sz w:val="20"/>
          <w:szCs w:val="20"/>
        </w:rPr>
        <w:t xml:space="preserve">The University is committed to meeting its obligations under the Treaty of Waitangi and achieving equity outcomes for staff and students in a safe, inclusive and equitable environment.  For further information on services for Māori, Pacific, women, LGBTI, people with disabilities, parenting support, flexible work and other equity issues go to </w:t>
      </w:r>
      <w:hyperlink r:id="rId4" w:history="1">
        <w:r w:rsidRPr="004D3AC8">
          <w:rPr>
            <w:rStyle w:val="Hyperlink"/>
            <w:i/>
            <w:sz w:val="20"/>
            <w:szCs w:val="20"/>
          </w:rPr>
          <w:t>www.equity.auckland.ac.nz</w:t>
        </w:r>
      </w:hyperlink>
      <w:r w:rsidRPr="004D3AC8">
        <w:rPr>
          <w:i/>
          <w:sz w:val="20"/>
          <w:szCs w:val="20"/>
        </w:rPr>
        <w:t>”.</w:t>
      </w:r>
    </w:p>
    <w:p w14:paraId="5046A080" w14:textId="7229587F" w:rsidR="00D14D9C" w:rsidRDefault="00D14D9C">
      <w:pPr>
        <w:pStyle w:val="FootnoteText"/>
      </w:pPr>
    </w:p>
  </w:footnote>
  <w:footnote w:id="8">
    <w:p w14:paraId="0BC0E595" w14:textId="301EA416" w:rsidR="0040331A" w:rsidRPr="0040331A" w:rsidRDefault="0040331A" w:rsidP="00D10BA6">
      <w:pPr>
        <w:rPr>
          <w:sz w:val="16"/>
          <w:szCs w:val="16"/>
        </w:rPr>
      </w:pPr>
      <w:r w:rsidRPr="0040331A">
        <w:rPr>
          <w:rStyle w:val="FootnoteReference"/>
          <w:sz w:val="16"/>
          <w:szCs w:val="16"/>
        </w:rPr>
        <w:footnoteRef/>
      </w:r>
      <w:r w:rsidRPr="0040331A">
        <w:rPr>
          <w:sz w:val="16"/>
          <w:szCs w:val="16"/>
        </w:rPr>
        <w:t xml:space="preserve"> </w:t>
      </w:r>
      <w:hyperlink r:id="rId5" w:history="1">
        <w:r w:rsidRPr="0040331A">
          <w:rPr>
            <w:rStyle w:val="Hyperlink"/>
            <w:sz w:val="16"/>
            <w:szCs w:val="16"/>
          </w:rPr>
          <w:t>Recruit Smarter Technical Report Victorian Government Australia 2018</w:t>
        </w:r>
      </w:hyperlink>
    </w:p>
  </w:footnote>
  <w:footnote w:id="9">
    <w:p w14:paraId="1FF59E68" w14:textId="77777777" w:rsidR="009541DC" w:rsidRPr="0040331A" w:rsidRDefault="009541DC">
      <w:pPr>
        <w:pStyle w:val="FootnoteText"/>
        <w:rPr>
          <w:sz w:val="16"/>
          <w:szCs w:val="16"/>
        </w:rPr>
      </w:pPr>
      <w:r w:rsidRPr="0040331A">
        <w:rPr>
          <w:rStyle w:val="FootnoteReference"/>
          <w:sz w:val="16"/>
          <w:szCs w:val="16"/>
        </w:rPr>
        <w:footnoteRef/>
      </w:r>
      <w:r w:rsidRPr="0040331A">
        <w:rPr>
          <w:sz w:val="16"/>
          <w:szCs w:val="16"/>
        </w:rPr>
        <w:t xml:space="preserve"> Implementing the Gender Pay Principles. Ministry for Women August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D4930" w14:textId="77777777" w:rsidR="00506032" w:rsidRDefault="00506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3328C" w14:textId="0F02BED7" w:rsidR="005E2492" w:rsidRDefault="005E2492">
    <w:pPr>
      <w:pStyle w:val="Header"/>
    </w:pPr>
    <w:r>
      <w:rPr>
        <w:rFonts w:ascii="Verdana" w:hAnsi="Verdana"/>
        <w:noProof/>
        <w:sz w:val="20"/>
        <w:szCs w:val="20"/>
        <w:lang w:eastAsia="en-NZ"/>
      </w:rPr>
      <w:drawing>
        <wp:anchor distT="0" distB="0" distL="114300" distR="114300" simplePos="0" relativeHeight="251657216" behindDoc="0" locked="0" layoutInCell="1" allowOverlap="1" wp14:anchorId="390A612A" wp14:editId="46F6C745">
          <wp:simplePos x="0" y="0"/>
          <wp:positionH relativeFrom="column">
            <wp:posOffset>4390459</wp:posOffset>
          </wp:positionH>
          <wp:positionV relativeFrom="paragraph">
            <wp:posOffset>27614</wp:posOffset>
          </wp:positionV>
          <wp:extent cx="1375410" cy="45466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HC-RGB.png"/>
                  <pic:cNvPicPr/>
                </pic:nvPicPr>
                <pic:blipFill>
                  <a:blip r:embed="rId1">
                    <a:extLst>
                      <a:ext uri="{28A0092B-C50C-407E-A947-70E740481C1C}">
                        <a14:useLocalDpi xmlns:a14="http://schemas.microsoft.com/office/drawing/2010/main" val="0"/>
                      </a:ext>
                    </a:extLst>
                  </a:blip>
                  <a:stretch>
                    <a:fillRect/>
                  </a:stretch>
                </pic:blipFill>
                <pic:spPr>
                  <a:xfrm>
                    <a:off x="0" y="0"/>
                    <a:ext cx="1375410" cy="45466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4685" w14:textId="77777777" w:rsidR="00506032" w:rsidRDefault="00506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0316"/>
    <w:multiLevelType w:val="hybridMultilevel"/>
    <w:tmpl w:val="C93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4732D814">
      <w:numFmt w:val="bullet"/>
      <w:lvlText w:val="•"/>
      <w:lvlJc w:val="left"/>
      <w:pPr>
        <w:ind w:left="1800" w:hanging="360"/>
      </w:pPr>
      <w:rPr>
        <w:rFonts w:ascii="Segoe UI" w:eastAsiaTheme="minorHAnsi" w:hAnsi="Segoe UI" w:cs="Segoe UI"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2B1DA0"/>
    <w:multiLevelType w:val="hybridMultilevel"/>
    <w:tmpl w:val="146271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A55A0B"/>
    <w:multiLevelType w:val="hybridMultilevel"/>
    <w:tmpl w:val="2B7EE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4E7A0C"/>
    <w:multiLevelType w:val="hybridMultilevel"/>
    <w:tmpl w:val="C32026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70209DF"/>
    <w:multiLevelType w:val="hybridMultilevel"/>
    <w:tmpl w:val="18EC8F2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44A35463"/>
    <w:multiLevelType w:val="hybridMultilevel"/>
    <w:tmpl w:val="2CB6C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D7370F"/>
    <w:multiLevelType w:val="hybridMultilevel"/>
    <w:tmpl w:val="DB784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BC7BB7"/>
    <w:multiLevelType w:val="hybridMultilevel"/>
    <w:tmpl w:val="F9248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984ED6"/>
    <w:multiLevelType w:val="hybridMultilevel"/>
    <w:tmpl w:val="3CF4B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412E32"/>
    <w:multiLevelType w:val="hybridMultilevel"/>
    <w:tmpl w:val="FD6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964DF"/>
    <w:multiLevelType w:val="hybridMultilevel"/>
    <w:tmpl w:val="F78C401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3D91A4C"/>
    <w:multiLevelType w:val="hybridMultilevel"/>
    <w:tmpl w:val="AD2624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E66756"/>
    <w:multiLevelType w:val="hybridMultilevel"/>
    <w:tmpl w:val="36C46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8"/>
  </w:num>
  <w:num w:numId="5">
    <w:abstractNumId w:val="2"/>
  </w:num>
  <w:num w:numId="6">
    <w:abstractNumId w:val="12"/>
  </w:num>
  <w:num w:numId="7">
    <w:abstractNumId w:val="3"/>
  </w:num>
  <w:num w:numId="8">
    <w:abstractNumId w:val="6"/>
  </w:num>
  <w:num w:numId="9">
    <w:abstractNumId w:val="7"/>
  </w:num>
  <w:num w:numId="10">
    <w:abstractNumId w:val="9"/>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50"/>
    <w:rsid w:val="00005F12"/>
    <w:rsid w:val="000104F1"/>
    <w:rsid w:val="00012A35"/>
    <w:rsid w:val="000136D5"/>
    <w:rsid w:val="000432FC"/>
    <w:rsid w:val="000534D5"/>
    <w:rsid w:val="0005498E"/>
    <w:rsid w:val="00063B17"/>
    <w:rsid w:val="00082EE3"/>
    <w:rsid w:val="00092D0F"/>
    <w:rsid w:val="00095639"/>
    <w:rsid w:val="000A4C80"/>
    <w:rsid w:val="000B071C"/>
    <w:rsid w:val="000B2509"/>
    <w:rsid w:val="000B3248"/>
    <w:rsid w:val="000C007F"/>
    <w:rsid w:val="000C1C5A"/>
    <w:rsid w:val="000C4DCA"/>
    <w:rsid w:val="000D6462"/>
    <w:rsid w:val="000E0347"/>
    <w:rsid w:val="000E1E18"/>
    <w:rsid w:val="000E3D5F"/>
    <w:rsid w:val="000E4FDB"/>
    <w:rsid w:val="00102F38"/>
    <w:rsid w:val="001060BD"/>
    <w:rsid w:val="00121A2E"/>
    <w:rsid w:val="001245BF"/>
    <w:rsid w:val="00125C79"/>
    <w:rsid w:val="00126DBB"/>
    <w:rsid w:val="0013178B"/>
    <w:rsid w:val="001340E0"/>
    <w:rsid w:val="0013756C"/>
    <w:rsid w:val="001411FD"/>
    <w:rsid w:val="00141B1C"/>
    <w:rsid w:val="00142A01"/>
    <w:rsid w:val="00151E7F"/>
    <w:rsid w:val="00154B49"/>
    <w:rsid w:val="001658CD"/>
    <w:rsid w:val="0017085B"/>
    <w:rsid w:val="001709FA"/>
    <w:rsid w:val="00172323"/>
    <w:rsid w:val="001814E9"/>
    <w:rsid w:val="00182BB4"/>
    <w:rsid w:val="001834BF"/>
    <w:rsid w:val="001850AC"/>
    <w:rsid w:val="00186152"/>
    <w:rsid w:val="001866B9"/>
    <w:rsid w:val="001866D2"/>
    <w:rsid w:val="00190476"/>
    <w:rsid w:val="001904C2"/>
    <w:rsid w:val="001A1797"/>
    <w:rsid w:val="001B2313"/>
    <w:rsid w:val="001C2C65"/>
    <w:rsid w:val="001E2229"/>
    <w:rsid w:val="001E29BC"/>
    <w:rsid w:val="001E404C"/>
    <w:rsid w:val="001F0E2A"/>
    <w:rsid w:val="001F25BC"/>
    <w:rsid w:val="001F2AC3"/>
    <w:rsid w:val="001F59B4"/>
    <w:rsid w:val="001F7CA1"/>
    <w:rsid w:val="00203687"/>
    <w:rsid w:val="00207107"/>
    <w:rsid w:val="00207CF0"/>
    <w:rsid w:val="002136E0"/>
    <w:rsid w:val="00220C2C"/>
    <w:rsid w:val="00221235"/>
    <w:rsid w:val="00223289"/>
    <w:rsid w:val="002235FE"/>
    <w:rsid w:val="00224E64"/>
    <w:rsid w:val="00227C37"/>
    <w:rsid w:val="002344C2"/>
    <w:rsid w:val="00245D57"/>
    <w:rsid w:val="0024796F"/>
    <w:rsid w:val="00257BDF"/>
    <w:rsid w:val="002608EE"/>
    <w:rsid w:val="0027473B"/>
    <w:rsid w:val="00277D15"/>
    <w:rsid w:val="00281B9D"/>
    <w:rsid w:val="00281BF2"/>
    <w:rsid w:val="00282501"/>
    <w:rsid w:val="0029318F"/>
    <w:rsid w:val="00294736"/>
    <w:rsid w:val="002A528E"/>
    <w:rsid w:val="002A73A4"/>
    <w:rsid w:val="002B29D5"/>
    <w:rsid w:val="002B5FB9"/>
    <w:rsid w:val="002C74B9"/>
    <w:rsid w:val="002D3229"/>
    <w:rsid w:val="002D3CB0"/>
    <w:rsid w:val="002D4873"/>
    <w:rsid w:val="002D6DB2"/>
    <w:rsid w:val="002E63ED"/>
    <w:rsid w:val="002E68CB"/>
    <w:rsid w:val="002F5606"/>
    <w:rsid w:val="002F5DB2"/>
    <w:rsid w:val="00301FC2"/>
    <w:rsid w:val="00307315"/>
    <w:rsid w:val="00314A6D"/>
    <w:rsid w:val="0032195F"/>
    <w:rsid w:val="00336725"/>
    <w:rsid w:val="003429CA"/>
    <w:rsid w:val="003430AB"/>
    <w:rsid w:val="003447BB"/>
    <w:rsid w:val="003511CD"/>
    <w:rsid w:val="00351598"/>
    <w:rsid w:val="00355614"/>
    <w:rsid w:val="00356B6D"/>
    <w:rsid w:val="00361D19"/>
    <w:rsid w:val="00362A82"/>
    <w:rsid w:val="00372B29"/>
    <w:rsid w:val="00384F58"/>
    <w:rsid w:val="003866E5"/>
    <w:rsid w:val="003911A5"/>
    <w:rsid w:val="0039493F"/>
    <w:rsid w:val="00395624"/>
    <w:rsid w:val="003A322A"/>
    <w:rsid w:val="003A3C98"/>
    <w:rsid w:val="003A61AB"/>
    <w:rsid w:val="003B186E"/>
    <w:rsid w:val="003B6C2F"/>
    <w:rsid w:val="003C1E66"/>
    <w:rsid w:val="003C2BC9"/>
    <w:rsid w:val="003C66B4"/>
    <w:rsid w:val="003D0E79"/>
    <w:rsid w:val="003D1610"/>
    <w:rsid w:val="003D46B2"/>
    <w:rsid w:val="003D77D4"/>
    <w:rsid w:val="003E46BC"/>
    <w:rsid w:val="003E47E6"/>
    <w:rsid w:val="003E5036"/>
    <w:rsid w:val="003E7FE0"/>
    <w:rsid w:val="003F4A25"/>
    <w:rsid w:val="0040331A"/>
    <w:rsid w:val="00403504"/>
    <w:rsid w:val="004038AA"/>
    <w:rsid w:val="004051DD"/>
    <w:rsid w:val="00414B51"/>
    <w:rsid w:val="00425C9C"/>
    <w:rsid w:val="00441A26"/>
    <w:rsid w:val="0044226D"/>
    <w:rsid w:val="00451CED"/>
    <w:rsid w:val="00467D15"/>
    <w:rsid w:val="00475C10"/>
    <w:rsid w:val="00476E57"/>
    <w:rsid w:val="00480C41"/>
    <w:rsid w:val="00481619"/>
    <w:rsid w:val="00487232"/>
    <w:rsid w:val="004872B0"/>
    <w:rsid w:val="004933DA"/>
    <w:rsid w:val="00496DB8"/>
    <w:rsid w:val="004A1550"/>
    <w:rsid w:val="004A2AD3"/>
    <w:rsid w:val="004A6A70"/>
    <w:rsid w:val="004B2015"/>
    <w:rsid w:val="004C06F6"/>
    <w:rsid w:val="004C54E2"/>
    <w:rsid w:val="004C7C26"/>
    <w:rsid w:val="004D031D"/>
    <w:rsid w:val="004D06D8"/>
    <w:rsid w:val="004D2FDD"/>
    <w:rsid w:val="004D3F36"/>
    <w:rsid w:val="004D5222"/>
    <w:rsid w:val="004D788B"/>
    <w:rsid w:val="004E1774"/>
    <w:rsid w:val="004F24D5"/>
    <w:rsid w:val="004F39AD"/>
    <w:rsid w:val="004F44F5"/>
    <w:rsid w:val="0050155A"/>
    <w:rsid w:val="00506032"/>
    <w:rsid w:val="00507025"/>
    <w:rsid w:val="005239E3"/>
    <w:rsid w:val="0052451E"/>
    <w:rsid w:val="00527621"/>
    <w:rsid w:val="0053230E"/>
    <w:rsid w:val="00532C77"/>
    <w:rsid w:val="00537A6A"/>
    <w:rsid w:val="00541CBA"/>
    <w:rsid w:val="00541E13"/>
    <w:rsid w:val="00544694"/>
    <w:rsid w:val="00551112"/>
    <w:rsid w:val="00560ABD"/>
    <w:rsid w:val="00564D82"/>
    <w:rsid w:val="00566595"/>
    <w:rsid w:val="00570584"/>
    <w:rsid w:val="0057619F"/>
    <w:rsid w:val="00584D48"/>
    <w:rsid w:val="005A72ED"/>
    <w:rsid w:val="005B3AF5"/>
    <w:rsid w:val="005C45C8"/>
    <w:rsid w:val="005C50CF"/>
    <w:rsid w:val="005D00AB"/>
    <w:rsid w:val="005E00F9"/>
    <w:rsid w:val="005E2492"/>
    <w:rsid w:val="005E77CA"/>
    <w:rsid w:val="005F6F5F"/>
    <w:rsid w:val="00625A5B"/>
    <w:rsid w:val="00626CC3"/>
    <w:rsid w:val="00637521"/>
    <w:rsid w:val="00660871"/>
    <w:rsid w:val="00665848"/>
    <w:rsid w:val="00666629"/>
    <w:rsid w:val="00675CDE"/>
    <w:rsid w:val="006829FB"/>
    <w:rsid w:val="00685C01"/>
    <w:rsid w:val="00687FA2"/>
    <w:rsid w:val="00697D36"/>
    <w:rsid w:val="006C4451"/>
    <w:rsid w:val="006C4692"/>
    <w:rsid w:val="006D487B"/>
    <w:rsid w:val="006E3B3C"/>
    <w:rsid w:val="006E5B6A"/>
    <w:rsid w:val="006F1B37"/>
    <w:rsid w:val="006F6DDC"/>
    <w:rsid w:val="00704A72"/>
    <w:rsid w:val="00707C57"/>
    <w:rsid w:val="00722EC8"/>
    <w:rsid w:val="00724D70"/>
    <w:rsid w:val="00731ECB"/>
    <w:rsid w:val="00753D94"/>
    <w:rsid w:val="007642B2"/>
    <w:rsid w:val="00784BCC"/>
    <w:rsid w:val="0078577B"/>
    <w:rsid w:val="00786C59"/>
    <w:rsid w:val="00787F13"/>
    <w:rsid w:val="0079144C"/>
    <w:rsid w:val="007933CE"/>
    <w:rsid w:val="007C68F4"/>
    <w:rsid w:val="007D20C4"/>
    <w:rsid w:val="007D36C2"/>
    <w:rsid w:val="007D5D14"/>
    <w:rsid w:val="007E010D"/>
    <w:rsid w:val="007F49F5"/>
    <w:rsid w:val="00812C1F"/>
    <w:rsid w:val="008223BF"/>
    <w:rsid w:val="008424ED"/>
    <w:rsid w:val="00844FA1"/>
    <w:rsid w:val="0085219A"/>
    <w:rsid w:val="00870B50"/>
    <w:rsid w:val="00874408"/>
    <w:rsid w:val="00874F97"/>
    <w:rsid w:val="00877FD9"/>
    <w:rsid w:val="008810B0"/>
    <w:rsid w:val="00882FAE"/>
    <w:rsid w:val="008866FB"/>
    <w:rsid w:val="00887D23"/>
    <w:rsid w:val="008915A2"/>
    <w:rsid w:val="008A2F6D"/>
    <w:rsid w:val="008B603F"/>
    <w:rsid w:val="008D2337"/>
    <w:rsid w:val="008D6FC7"/>
    <w:rsid w:val="008D7A2D"/>
    <w:rsid w:val="008E140D"/>
    <w:rsid w:val="008E3282"/>
    <w:rsid w:val="008F0167"/>
    <w:rsid w:val="008F1DF8"/>
    <w:rsid w:val="008F5E40"/>
    <w:rsid w:val="008F64F1"/>
    <w:rsid w:val="00913813"/>
    <w:rsid w:val="00930B59"/>
    <w:rsid w:val="00935B26"/>
    <w:rsid w:val="00937654"/>
    <w:rsid w:val="00942CF1"/>
    <w:rsid w:val="009439A0"/>
    <w:rsid w:val="0094503D"/>
    <w:rsid w:val="0094626B"/>
    <w:rsid w:val="0094682F"/>
    <w:rsid w:val="00951712"/>
    <w:rsid w:val="0095292A"/>
    <w:rsid w:val="009541DC"/>
    <w:rsid w:val="00956837"/>
    <w:rsid w:val="00970327"/>
    <w:rsid w:val="00983782"/>
    <w:rsid w:val="00986EC9"/>
    <w:rsid w:val="00994A44"/>
    <w:rsid w:val="00994DCE"/>
    <w:rsid w:val="009A02D4"/>
    <w:rsid w:val="009A0A32"/>
    <w:rsid w:val="009A2557"/>
    <w:rsid w:val="009A3BC5"/>
    <w:rsid w:val="009A6FEC"/>
    <w:rsid w:val="009C6981"/>
    <w:rsid w:val="009D2104"/>
    <w:rsid w:val="009D38DB"/>
    <w:rsid w:val="009D5466"/>
    <w:rsid w:val="009D6CE1"/>
    <w:rsid w:val="009E2B0D"/>
    <w:rsid w:val="009E318E"/>
    <w:rsid w:val="009E45E3"/>
    <w:rsid w:val="00A0045E"/>
    <w:rsid w:val="00A04529"/>
    <w:rsid w:val="00A12F11"/>
    <w:rsid w:val="00A16BF3"/>
    <w:rsid w:val="00A2734D"/>
    <w:rsid w:val="00A30469"/>
    <w:rsid w:val="00A335B5"/>
    <w:rsid w:val="00A50AD3"/>
    <w:rsid w:val="00A51FA5"/>
    <w:rsid w:val="00A57850"/>
    <w:rsid w:val="00A65565"/>
    <w:rsid w:val="00A66377"/>
    <w:rsid w:val="00A732ED"/>
    <w:rsid w:val="00A74159"/>
    <w:rsid w:val="00A74C00"/>
    <w:rsid w:val="00A75362"/>
    <w:rsid w:val="00A84A11"/>
    <w:rsid w:val="00A9070B"/>
    <w:rsid w:val="00A91631"/>
    <w:rsid w:val="00A91887"/>
    <w:rsid w:val="00AA35D1"/>
    <w:rsid w:val="00AA486D"/>
    <w:rsid w:val="00AB2569"/>
    <w:rsid w:val="00AB3CFC"/>
    <w:rsid w:val="00AB7424"/>
    <w:rsid w:val="00AC27DA"/>
    <w:rsid w:val="00AC750C"/>
    <w:rsid w:val="00AD0AA5"/>
    <w:rsid w:val="00AD79A7"/>
    <w:rsid w:val="00AF1721"/>
    <w:rsid w:val="00AF176D"/>
    <w:rsid w:val="00AF39CE"/>
    <w:rsid w:val="00AF6F84"/>
    <w:rsid w:val="00B0024F"/>
    <w:rsid w:val="00B013DD"/>
    <w:rsid w:val="00B20867"/>
    <w:rsid w:val="00B20FBB"/>
    <w:rsid w:val="00B25808"/>
    <w:rsid w:val="00B25A50"/>
    <w:rsid w:val="00B374B6"/>
    <w:rsid w:val="00B3789E"/>
    <w:rsid w:val="00B4176C"/>
    <w:rsid w:val="00B475A8"/>
    <w:rsid w:val="00B57E3D"/>
    <w:rsid w:val="00B6057C"/>
    <w:rsid w:val="00B65960"/>
    <w:rsid w:val="00B674A2"/>
    <w:rsid w:val="00B70942"/>
    <w:rsid w:val="00B83046"/>
    <w:rsid w:val="00B973EA"/>
    <w:rsid w:val="00BA2820"/>
    <w:rsid w:val="00BA3B06"/>
    <w:rsid w:val="00BA67F1"/>
    <w:rsid w:val="00BC130E"/>
    <w:rsid w:val="00BC6F7B"/>
    <w:rsid w:val="00BD39BF"/>
    <w:rsid w:val="00BD7806"/>
    <w:rsid w:val="00BE0CDB"/>
    <w:rsid w:val="00BE2260"/>
    <w:rsid w:val="00BE2E8B"/>
    <w:rsid w:val="00BF003E"/>
    <w:rsid w:val="00C12E40"/>
    <w:rsid w:val="00C224D9"/>
    <w:rsid w:val="00C30148"/>
    <w:rsid w:val="00C35844"/>
    <w:rsid w:val="00C513CA"/>
    <w:rsid w:val="00C665EC"/>
    <w:rsid w:val="00C83405"/>
    <w:rsid w:val="00C90362"/>
    <w:rsid w:val="00C97C20"/>
    <w:rsid w:val="00CA2ECB"/>
    <w:rsid w:val="00CA3A8C"/>
    <w:rsid w:val="00CB0322"/>
    <w:rsid w:val="00CC091E"/>
    <w:rsid w:val="00CC1418"/>
    <w:rsid w:val="00CD0E38"/>
    <w:rsid w:val="00CD2ABA"/>
    <w:rsid w:val="00CD2DB1"/>
    <w:rsid w:val="00CE178D"/>
    <w:rsid w:val="00CE4578"/>
    <w:rsid w:val="00CF24D0"/>
    <w:rsid w:val="00CF7482"/>
    <w:rsid w:val="00D00723"/>
    <w:rsid w:val="00D00CF1"/>
    <w:rsid w:val="00D03F66"/>
    <w:rsid w:val="00D043F0"/>
    <w:rsid w:val="00D04450"/>
    <w:rsid w:val="00D10BA6"/>
    <w:rsid w:val="00D14D9C"/>
    <w:rsid w:val="00D15AB6"/>
    <w:rsid w:val="00D20038"/>
    <w:rsid w:val="00D2637B"/>
    <w:rsid w:val="00D30E24"/>
    <w:rsid w:val="00D60FC9"/>
    <w:rsid w:val="00D6293C"/>
    <w:rsid w:val="00D651EF"/>
    <w:rsid w:val="00D70232"/>
    <w:rsid w:val="00D719E6"/>
    <w:rsid w:val="00D75698"/>
    <w:rsid w:val="00D8367A"/>
    <w:rsid w:val="00D94AD1"/>
    <w:rsid w:val="00DA05EA"/>
    <w:rsid w:val="00DA277A"/>
    <w:rsid w:val="00DB2C55"/>
    <w:rsid w:val="00DB35FD"/>
    <w:rsid w:val="00DB3DB1"/>
    <w:rsid w:val="00DC45CD"/>
    <w:rsid w:val="00DD15FE"/>
    <w:rsid w:val="00DD1DD8"/>
    <w:rsid w:val="00DD43C7"/>
    <w:rsid w:val="00DD518B"/>
    <w:rsid w:val="00DD7E16"/>
    <w:rsid w:val="00DE114B"/>
    <w:rsid w:val="00DE1A89"/>
    <w:rsid w:val="00DE2427"/>
    <w:rsid w:val="00E1477D"/>
    <w:rsid w:val="00E26009"/>
    <w:rsid w:val="00E323CB"/>
    <w:rsid w:val="00E34DCF"/>
    <w:rsid w:val="00E431D4"/>
    <w:rsid w:val="00E52466"/>
    <w:rsid w:val="00E71C91"/>
    <w:rsid w:val="00E76426"/>
    <w:rsid w:val="00E85776"/>
    <w:rsid w:val="00E85EA0"/>
    <w:rsid w:val="00E87411"/>
    <w:rsid w:val="00EA0DB2"/>
    <w:rsid w:val="00EA4319"/>
    <w:rsid w:val="00EA5FCA"/>
    <w:rsid w:val="00EB1745"/>
    <w:rsid w:val="00EB2180"/>
    <w:rsid w:val="00EB2933"/>
    <w:rsid w:val="00EB4FA2"/>
    <w:rsid w:val="00EC30CE"/>
    <w:rsid w:val="00EC6CAE"/>
    <w:rsid w:val="00ED7E78"/>
    <w:rsid w:val="00EE1AF6"/>
    <w:rsid w:val="00EE3AEA"/>
    <w:rsid w:val="00EF0BAC"/>
    <w:rsid w:val="00EF23F7"/>
    <w:rsid w:val="00EF36BC"/>
    <w:rsid w:val="00EF56AE"/>
    <w:rsid w:val="00EF6F53"/>
    <w:rsid w:val="00F13F8A"/>
    <w:rsid w:val="00F14244"/>
    <w:rsid w:val="00F164D8"/>
    <w:rsid w:val="00F1683B"/>
    <w:rsid w:val="00F17913"/>
    <w:rsid w:val="00F20002"/>
    <w:rsid w:val="00F21C77"/>
    <w:rsid w:val="00F232E1"/>
    <w:rsid w:val="00F26CAB"/>
    <w:rsid w:val="00F2722E"/>
    <w:rsid w:val="00F272A0"/>
    <w:rsid w:val="00F41532"/>
    <w:rsid w:val="00F551CF"/>
    <w:rsid w:val="00F61148"/>
    <w:rsid w:val="00F6212E"/>
    <w:rsid w:val="00F70A62"/>
    <w:rsid w:val="00F731FE"/>
    <w:rsid w:val="00F73DD0"/>
    <w:rsid w:val="00F843C6"/>
    <w:rsid w:val="00F850D2"/>
    <w:rsid w:val="00F918DC"/>
    <w:rsid w:val="00FC573E"/>
    <w:rsid w:val="00FD01EE"/>
    <w:rsid w:val="00FD2EA7"/>
    <w:rsid w:val="00FE7C8E"/>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80734B"/>
  <w15:chartTrackingRefBased/>
  <w15:docId w15:val="{7163712F-71D2-4B76-A8DF-09667AE3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Segoe UI"/>
        <w:color w:val="4A4C4C"/>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15"/>
  </w:style>
  <w:style w:type="paragraph" w:styleId="Heading1">
    <w:name w:val="heading 1"/>
    <w:basedOn w:val="Normal"/>
    <w:next w:val="Normal"/>
    <w:link w:val="Heading1Char"/>
    <w:uiPriority w:val="9"/>
    <w:qFormat/>
    <w:rsid w:val="00AC75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5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15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15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A155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4A1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1550"/>
    <w:pPr>
      <w:ind w:left="720"/>
      <w:contextualSpacing/>
    </w:pPr>
  </w:style>
  <w:style w:type="character" w:styleId="Hyperlink">
    <w:name w:val="Hyperlink"/>
    <w:basedOn w:val="DefaultParagraphFont"/>
    <w:uiPriority w:val="99"/>
    <w:unhideWhenUsed/>
    <w:rsid w:val="00356B6D"/>
    <w:rPr>
      <w:color w:val="0563C1" w:themeColor="hyperlink"/>
      <w:u w:val="single"/>
    </w:rPr>
  </w:style>
  <w:style w:type="character" w:customStyle="1" w:styleId="Heading1Char">
    <w:name w:val="Heading 1 Char"/>
    <w:basedOn w:val="DefaultParagraphFont"/>
    <w:link w:val="Heading1"/>
    <w:uiPriority w:val="9"/>
    <w:rsid w:val="00AC750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904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0476"/>
    <w:rPr>
      <w:sz w:val="20"/>
      <w:szCs w:val="20"/>
    </w:rPr>
  </w:style>
  <w:style w:type="character" w:styleId="FootnoteReference">
    <w:name w:val="footnote reference"/>
    <w:basedOn w:val="DefaultParagraphFont"/>
    <w:uiPriority w:val="99"/>
    <w:semiHidden/>
    <w:unhideWhenUsed/>
    <w:rsid w:val="00190476"/>
    <w:rPr>
      <w:vertAlign w:val="superscript"/>
    </w:rPr>
  </w:style>
  <w:style w:type="character" w:styleId="UnresolvedMention">
    <w:name w:val="Unresolved Mention"/>
    <w:basedOn w:val="DefaultParagraphFont"/>
    <w:uiPriority w:val="99"/>
    <w:semiHidden/>
    <w:unhideWhenUsed/>
    <w:rsid w:val="00190476"/>
    <w:rPr>
      <w:color w:val="605E5C"/>
      <w:shd w:val="clear" w:color="auto" w:fill="E1DFDD"/>
    </w:rPr>
  </w:style>
  <w:style w:type="paragraph" w:customStyle="1" w:styleId="Default">
    <w:name w:val="Default"/>
    <w:rsid w:val="000C1C5A"/>
    <w:pPr>
      <w:autoSpaceDE w:val="0"/>
      <w:autoSpaceDN w:val="0"/>
      <w:adjustRightInd w:val="0"/>
      <w:spacing w:after="0" w:line="240" w:lineRule="auto"/>
    </w:pPr>
    <w:rPr>
      <w:rFonts w:ascii="VIC SemiBold" w:hAnsi="VIC SemiBold" w:cs="VIC SemiBold"/>
      <w:color w:val="000000"/>
      <w:sz w:val="24"/>
      <w:szCs w:val="24"/>
      <w:lang w:val="en-US"/>
    </w:rPr>
  </w:style>
  <w:style w:type="character" w:customStyle="1" w:styleId="A2">
    <w:name w:val="A2"/>
    <w:uiPriority w:val="99"/>
    <w:rsid w:val="000C1C5A"/>
    <w:rPr>
      <w:rFonts w:cs="VIC SemiBold"/>
      <w:color w:val="535353"/>
      <w:sz w:val="16"/>
      <w:szCs w:val="16"/>
    </w:rPr>
  </w:style>
  <w:style w:type="character" w:customStyle="1" w:styleId="A16">
    <w:name w:val="A16"/>
    <w:uiPriority w:val="99"/>
    <w:rsid w:val="000C1C5A"/>
    <w:rPr>
      <w:rFonts w:ascii="VIC Light" w:hAnsi="VIC Light" w:cs="VIC Light"/>
      <w:color w:val="8F8789"/>
      <w:sz w:val="10"/>
      <w:szCs w:val="10"/>
    </w:rPr>
  </w:style>
  <w:style w:type="character" w:customStyle="1" w:styleId="A18">
    <w:name w:val="A18"/>
    <w:uiPriority w:val="99"/>
    <w:rsid w:val="000C1C5A"/>
    <w:rPr>
      <w:rFonts w:cs="VIC SemiBold"/>
      <w:b/>
      <w:bCs/>
      <w:color w:val="535353"/>
      <w:sz w:val="16"/>
      <w:szCs w:val="16"/>
    </w:rPr>
  </w:style>
  <w:style w:type="character" w:customStyle="1" w:styleId="A11">
    <w:name w:val="A11"/>
    <w:uiPriority w:val="99"/>
    <w:rsid w:val="000C1C5A"/>
    <w:rPr>
      <w:rFonts w:cs="VIC"/>
      <w:color w:val="8F8789"/>
      <w:sz w:val="12"/>
      <w:szCs w:val="12"/>
    </w:rPr>
  </w:style>
  <w:style w:type="character" w:styleId="FollowedHyperlink">
    <w:name w:val="FollowedHyperlink"/>
    <w:basedOn w:val="DefaultParagraphFont"/>
    <w:uiPriority w:val="99"/>
    <w:semiHidden/>
    <w:unhideWhenUsed/>
    <w:rsid w:val="00AA486D"/>
    <w:rPr>
      <w:color w:val="954F72" w:themeColor="followedHyperlink"/>
      <w:u w:val="single"/>
    </w:rPr>
  </w:style>
  <w:style w:type="paragraph" w:styleId="Header">
    <w:name w:val="header"/>
    <w:basedOn w:val="Normal"/>
    <w:link w:val="HeaderChar"/>
    <w:uiPriority w:val="99"/>
    <w:unhideWhenUsed/>
    <w:rsid w:val="005E24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492"/>
  </w:style>
  <w:style w:type="paragraph" w:styleId="Footer">
    <w:name w:val="footer"/>
    <w:basedOn w:val="Normal"/>
    <w:link w:val="FooterChar"/>
    <w:uiPriority w:val="99"/>
    <w:unhideWhenUsed/>
    <w:rsid w:val="005E2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decoder.katmatfield.com/" TargetMode="External"/><Relationship Id="rId13" Type="http://schemas.openxmlformats.org/officeDocument/2006/relationships/hyperlink" Target="https://services.anu.edu.au/human-resources/recruitment/selection-techniques/testing-and-work-samples" TargetMode="External"/><Relationship Id="rId18" Type="http://schemas.openxmlformats.org/officeDocument/2006/relationships/hyperlink" Target="https://www.auckland.ac.nz/en/on-campus/student-support/personal-support/students-with-disabilities/support-for-current-students/careers-and-employment.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aoripacificjobs.co.nz/" TargetMode="External"/><Relationship Id="rId7" Type="http://schemas.openxmlformats.org/officeDocument/2006/relationships/endnotes" Target="endnotes.xml"/><Relationship Id="rId12" Type="http://schemas.openxmlformats.org/officeDocument/2006/relationships/hyperlink" Target="https://www.hr.uwa.edu.au/policies/policies/selec" TargetMode="External"/><Relationship Id="rId17" Type="http://schemas.openxmlformats.org/officeDocument/2006/relationships/hyperlink" Target="https://workbridge.co.nz/"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seones.co/" TargetMode="External"/><Relationship Id="rId20" Type="http://schemas.openxmlformats.org/officeDocument/2006/relationships/hyperlink" Target="http://www.manarecruitment.co.nz/"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lvista.com/getting-started/write-amazing-job-descriptions/" TargetMode="External"/><Relationship Id="rId24" Type="http://schemas.openxmlformats.org/officeDocument/2006/relationships/hyperlink" Target="https://www.auckland.ac.nz/en/about-us/about-the-university/equity-at-the-university/equity-information-for-staff/staff-disabilities-impairments/reasonable-accommodation.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reermum.co.nz/business-directory/getaflex/" TargetMode="External"/><Relationship Id="rId23" Type="http://schemas.openxmlformats.org/officeDocument/2006/relationships/hyperlink" Target="https://support.microsoft.com/en-us/office/improve-accessibility-with-the-accessibility-checker-a16f6de0-2f39-4a2b-8bd8-5ad801426c7f?ui=en-us&amp;rs=en-us&amp;ad=us" TargetMode="External"/><Relationship Id="rId28" Type="http://schemas.openxmlformats.org/officeDocument/2006/relationships/footer" Target="footer2.xml"/><Relationship Id="rId10" Type="http://schemas.openxmlformats.org/officeDocument/2006/relationships/hyperlink" Target="https://textio.com/" TargetMode="External"/><Relationship Id="rId19" Type="http://schemas.openxmlformats.org/officeDocument/2006/relationships/hyperlink" Target="https://mahi.co.nz/"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liedhelp.zendesk.com/hc/en-us/articles/360010333513-Overview-of-Applied-s-Job-Description-Analysis-Tool" TargetMode="External"/><Relationship Id="rId14" Type="http://schemas.openxmlformats.org/officeDocument/2006/relationships/hyperlink" Target="https://cdn.auckland.ac.nz/assets/auckland/about-us/equity-at-the-university/about-equity/safe-inclusive-equitable-university/Equity%20SIE%20e-sig.jpeg" TargetMode="External"/><Relationship Id="rId22" Type="http://schemas.openxmlformats.org/officeDocument/2006/relationships/hyperlink" Target="https://www.hrc.co.nz/enquiries-and-complaints/faqs/positive-actions-achieve-equality/"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minerva-access.unimelb.edu.au/bitstream/handle/11343/216828/Recruit%20Smarter%20-%20Technical%20Report.pdf" TargetMode="External"/><Relationship Id="rId2" Type="http://schemas.openxmlformats.org/officeDocument/2006/relationships/hyperlink" Target="https://gap.hks.harvard.edu/evidence-gendered-wording-job-advertisements-exists-and-sustains-gender-inequality" TargetMode="External"/><Relationship Id="rId1" Type="http://schemas.openxmlformats.org/officeDocument/2006/relationships/hyperlink" Target="https://library.oapen.org/bitstream/handle/20.500.12657/39923/?sequence=1" TargetMode="External"/><Relationship Id="rId5" Type="http://schemas.openxmlformats.org/officeDocument/2006/relationships/hyperlink" Target="https://minerva-access.unimelb.edu.au/bitstream/handle/11343/216828/Recruit%20Smarter%20-%20Technical%20Report.pdf" TargetMode="External"/><Relationship Id="rId4" Type="http://schemas.openxmlformats.org/officeDocument/2006/relationships/hyperlink" Target="http://www.equity.auckland.ac.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57B0-4A98-4D2D-AA98-B7513E33C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Walsh</dc:creator>
  <cp:keywords/>
  <dc:description/>
  <cp:lastModifiedBy>Cathie Walsh</cp:lastModifiedBy>
  <cp:revision>30</cp:revision>
  <cp:lastPrinted>2020-07-10T03:23:00Z</cp:lastPrinted>
  <dcterms:created xsi:type="dcterms:W3CDTF">2020-07-15T02:49:00Z</dcterms:created>
  <dcterms:modified xsi:type="dcterms:W3CDTF">2021-08-26T03:52:00Z</dcterms:modified>
</cp:coreProperties>
</file>