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488E3" w14:textId="01839360" w:rsidR="0026565F" w:rsidRDefault="0026565F" w:rsidP="0026565F">
      <w:pPr>
        <w:pStyle w:val="Heading1"/>
        <w:rPr>
          <w:lang w:val="en-US"/>
        </w:rPr>
      </w:pPr>
      <w:r>
        <w:rPr>
          <w:lang w:val="en-US"/>
        </w:rPr>
        <w:t>Step 8: Decision-making</w:t>
      </w:r>
    </w:p>
    <w:p w14:paraId="2D190D23" w14:textId="77777777" w:rsidR="00043E42" w:rsidRPr="00441A26" w:rsidRDefault="00043E42" w:rsidP="00043E42">
      <w:pPr>
        <w:pStyle w:val="Heading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043E42" w:rsidRPr="00441A26" w14:paraId="761FA48D" w14:textId="77777777" w:rsidTr="00A73EDB">
        <w:tc>
          <w:tcPr>
            <w:tcW w:w="2972" w:type="dxa"/>
            <w:shd w:val="clear" w:color="auto" w:fill="D9D9D9" w:themeFill="background1" w:themeFillShade="D9"/>
          </w:tcPr>
          <w:p w14:paraId="3519C62A" w14:textId="77777777" w:rsidR="00043E42" w:rsidRPr="00441A26" w:rsidRDefault="00043E42" w:rsidP="00A73EDB">
            <w:pPr>
              <w:rPr>
                <w:b/>
                <w:bCs/>
              </w:rPr>
            </w:pPr>
            <w:r w:rsidRPr="00441A26">
              <w:rPr>
                <w:b/>
                <w:bCs/>
              </w:rPr>
              <w:t>Recommendation</w:t>
            </w:r>
          </w:p>
        </w:tc>
        <w:tc>
          <w:tcPr>
            <w:tcW w:w="6044" w:type="dxa"/>
            <w:shd w:val="clear" w:color="auto" w:fill="D9D9D9" w:themeFill="background1" w:themeFillShade="D9"/>
          </w:tcPr>
          <w:p w14:paraId="38D419EB" w14:textId="77777777" w:rsidR="00043E42" w:rsidRPr="00441A26" w:rsidRDefault="00043E42" w:rsidP="00A73E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Considerations and </w:t>
            </w:r>
            <w:r w:rsidRPr="00441A26">
              <w:rPr>
                <w:b/>
                <w:bCs/>
              </w:rPr>
              <w:t>Actions</w:t>
            </w:r>
          </w:p>
          <w:p w14:paraId="3BF30BFC" w14:textId="77777777" w:rsidR="00043E42" w:rsidRPr="00441A26" w:rsidRDefault="00043E42" w:rsidP="00A73EDB">
            <w:pPr>
              <w:rPr>
                <w:b/>
                <w:bCs/>
              </w:rPr>
            </w:pPr>
          </w:p>
        </w:tc>
      </w:tr>
      <w:tr w:rsidR="0026565F" w:rsidRPr="00F9668B" w14:paraId="24B226E3" w14:textId="77777777" w:rsidTr="00F70DF6">
        <w:tc>
          <w:tcPr>
            <w:tcW w:w="2972" w:type="dxa"/>
          </w:tcPr>
          <w:p w14:paraId="21CCBF54" w14:textId="2EB151EA" w:rsidR="0026565F" w:rsidRPr="00F9668B" w:rsidRDefault="00676DE2" w:rsidP="00F70DF6">
            <w:pPr>
              <w:rPr>
                <w:lang w:val="en-US"/>
              </w:rPr>
            </w:pPr>
            <w:r>
              <w:rPr>
                <w:lang w:val="en-US"/>
              </w:rPr>
              <w:t>The Selection Committee Chair facilitates a fair and</w:t>
            </w:r>
            <w:r w:rsidR="0026565F">
              <w:rPr>
                <w:lang w:val="en-US"/>
              </w:rPr>
              <w:t xml:space="preserve"> robust decision-making process</w:t>
            </w:r>
          </w:p>
        </w:tc>
        <w:tc>
          <w:tcPr>
            <w:tcW w:w="6044" w:type="dxa"/>
          </w:tcPr>
          <w:p w14:paraId="5A3BE5FC" w14:textId="5B96F9FD" w:rsidR="0026565F" w:rsidRPr="00115B09" w:rsidRDefault="00676DE2" w:rsidP="00956F7A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lang w:val="en-US"/>
              </w:rPr>
            </w:pPr>
            <w:r w:rsidRPr="00115B09">
              <w:rPr>
                <w:rFonts w:ascii="Segoe UI" w:hAnsi="Segoe UI" w:cs="Segoe UI"/>
                <w:lang w:val="en-US"/>
              </w:rPr>
              <w:t>Selection committee members speak individually, taking turns so different members speak first</w:t>
            </w:r>
          </w:p>
          <w:p w14:paraId="45C6A39C" w14:textId="73893820" w:rsidR="00676DE2" w:rsidRPr="00115B09" w:rsidRDefault="00676DE2" w:rsidP="00956F7A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lang w:val="en-US"/>
              </w:rPr>
            </w:pPr>
            <w:r w:rsidRPr="00115B09">
              <w:rPr>
                <w:rFonts w:ascii="Segoe UI" w:hAnsi="Segoe UI" w:cs="Segoe UI"/>
                <w:lang w:val="en-US"/>
              </w:rPr>
              <w:t xml:space="preserve">Assessment is </w:t>
            </w:r>
            <w:r w:rsidR="00210AC8" w:rsidRPr="00115B09">
              <w:rPr>
                <w:rFonts w:ascii="Segoe UI" w:hAnsi="Segoe UI" w:cs="Segoe UI"/>
                <w:lang w:val="en-US"/>
              </w:rPr>
              <w:t xml:space="preserve">conducted horizontally, </w:t>
            </w:r>
            <w:proofErr w:type="spellStart"/>
            <w:r w:rsidR="00210AC8" w:rsidRPr="00115B09">
              <w:rPr>
                <w:rFonts w:ascii="Segoe UI" w:hAnsi="Segoe UI" w:cs="Segoe UI"/>
                <w:lang w:val="en-US"/>
              </w:rPr>
              <w:t>ie</w:t>
            </w:r>
            <w:proofErr w:type="spellEnd"/>
            <w:r w:rsidR="00210AC8" w:rsidRPr="00115B09">
              <w:rPr>
                <w:rFonts w:ascii="Segoe UI" w:hAnsi="Segoe UI" w:cs="Segoe UI"/>
                <w:lang w:val="en-US"/>
              </w:rPr>
              <w:t xml:space="preserve">, </w:t>
            </w:r>
            <w:r w:rsidRPr="00115B09">
              <w:rPr>
                <w:rFonts w:ascii="Segoe UI" w:hAnsi="Segoe UI" w:cs="Segoe UI"/>
                <w:lang w:val="en-US"/>
              </w:rPr>
              <w:t xml:space="preserve">criterion </w:t>
            </w:r>
            <w:r w:rsidR="007A2B1B" w:rsidRPr="00115B09">
              <w:rPr>
                <w:rFonts w:ascii="Segoe UI" w:hAnsi="Segoe UI" w:cs="Segoe UI"/>
                <w:lang w:val="en-US"/>
              </w:rPr>
              <w:t xml:space="preserve">by criterion, </w:t>
            </w:r>
            <w:r w:rsidRPr="00115B09">
              <w:rPr>
                <w:rFonts w:ascii="Segoe UI" w:hAnsi="Segoe UI" w:cs="Segoe UI"/>
                <w:lang w:val="en-US"/>
              </w:rPr>
              <w:t>rather than applicant by applicant; all applicants against first criterion, then second criterion, then third …)</w:t>
            </w:r>
            <w:r w:rsidR="007A2B1B" w:rsidRPr="00115B09">
              <w:rPr>
                <w:rStyle w:val="FootnoteReference"/>
                <w:rFonts w:ascii="Segoe UI" w:hAnsi="Segoe UI" w:cs="Segoe UI"/>
                <w:lang w:val="en-US"/>
              </w:rPr>
              <w:footnoteReference w:id="1"/>
            </w:r>
            <w:r w:rsidR="007A2B1B" w:rsidRPr="00115B09">
              <w:rPr>
                <w:rFonts w:ascii="Segoe UI" w:hAnsi="Segoe UI" w:cs="Segoe UI"/>
                <w:vertAlign w:val="superscript"/>
                <w:lang w:val="en-US"/>
              </w:rPr>
              <w:t xml:space="preserve">, </w:t>
            </w:r>
            <w:r w:rsidR="007A2B1B" w:rsidRPr="00115B09">
              <w:rPr>
                <w:rStyle w:val="FootnoteReference"/>
                <w:rFonts w:ascii="Segoe UI" w:hAnsi="Segoe UI" w:cs="Segoe UI"/>
                <w:lang w:val="en-US"/>
              </w:rPr>
              <w:footnoteReference w:id="2"/>
            </w:r>
            <w:r w:rsidR="007A2B1B" w:rsidRPr="00115B09">
              <w:rPr>
                <w:rFonts w:ascii="Segoe UI" w:hAnsi="Segoe UI" w:cs="Segoe UI"/>
                <w:vertAlign w:val="superscript"/>
                <w:lang w:val="en-US"/>
              </w:rPr>
              <w:t>,</w:t>
            </w:r>
          </w:p>
          <w:p w14:paraId="2AD19D72" w14:textId="77777777" w:rsidR="00676DE2" w:rsidRPr="00115B09" w:rsidRDefault="00676DE2" w:rsidP="00210AC8">
            <w:pPr>
              <w:rPr>
                <w:lang w:val="en-US"/>
              </w:rPr>
            </w:pPr>
          </w:p>
          <w:p w14:paraId="15F92235" w14:textId="11A21B48" w:rsidR="00210AC8" w:rsidRPr="00115B09" w:rsidRDefault="00210AC8" w:rsidP="00210AC8">
            <w:pPr>
              <w:rPr>
                <w:b/>
                <w:bCs/>
                <w:lang w:val="en-US"/>
              </w:rPr>
            </w:pPr>
            <w:r w:rsidRPr="00115B09">
              <w:rPr>
                <w:b/>
                <w:bCs/>
                <w:lang w:val="en-US"/>
              </w:rPr>
              <w:t>Research</w:t>
            </w:r>
          </w:p>
          <w:p w14:paraId="12FD4C56" w14:textId="6FC01C02" w:rsidR="00210AC8" w:rsidRPr="00115B09" w:rsidRDefault="00210AC8" w:rsidP="00210AC8">
            <w:pPr>
              <w:ind w:left="720"/>
              <w:rPr>
                <w:color w:val="0070C0"/>
                <w:vertAlign w:val="superscript"/>
                <w:lang w:val="en-US"/>
              </w:rPr>
            </w:pPr>
            <w:r w:rsidRPr="00115B09">
              <w:rPr>
                <w:color w:val="0070C0"/>
                <w:lang w:val="en-US"/>
              </w:rPr>
              <w:t>Research has shown that gender stereotypes are more likely to occur when applicants are evaluated one at a time and against other applicants, and less likely when evaluating several applicants simultaneously, comparing them systematically against each criterion</w:t>
            </w:r>
            <w:r w:rsidR="007A2B1B" w:rsidRPr="00115B09">
              <w:rPr>
                <w:color w:val="0070C0"/>
                <w:vertAlign w:val="superscript"/>
                <w:lang w:val="en-US"/>
              </w:rPr>
              <w:t xml:space="preserve"> </w:t>
            </w:r>
            <w:r w:rsidR="007A2B1B" w:rsidRPr="00115B09">
              <w:rPr>
                <w:rStyle w:val="FootnoteReference"/>
                <w:color w:val="0070C0"/>
                <w:lang w:val="en-US"/>
              </w:rPr>
              <w:footnoteReference w:id="3"/>
            </w:r>
            <w:r w:rsidR="00931C1E">
              <w:rPr>
                <w:color w:val="0070C0"/>
                <w:vertAlign w:val="superscript"/>
                <w:lang w:val="en-US"/>
              </w:rPr>
              <w:t xml:space="preserve">, </w:t>
            </w:r>
            <w:r w:rsidR="00931C1E">
              <w:rPr>
                <w:rStyle w:val="FootnoteReference"/>
                <w:color w:val="0070C0"/>
                <w:lang w:val="en-US"/>
              </w:rPr>
              <w:footnoteReference w:id="4"/>
            </w:r>
          </w:p>
          <w:p w14:paraId="356B8804" w14:textId="77777777" w:rsidR="00210AC8" w:rsidRPr="00115B09" w:rsidRDefault="00210AC8" w:rsidP="00210AC8">
            <w:pPr>
              <w:rPr>
                <w:lang w:val="en-US"/>
              </w:rPr>
            </w:pPr>
          </w:p>
          <w:p w14:paraId="29F58682" w14:textId="77777777" w:rsidR="00956F7A" w:rsidRDefault="00956F7A" w:rsidP="00956F7A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All members have a voice, participate fully and no information dismissed</w:t>
            </w:r>
          </w:p>
          <w:p w14:paraId="4E9976AC" w14:textId="0657A194" w:rsidR="00241F4F" w:rsidRPr="00986C7E" w:rsidRDefault="00115B09" w:rsidP="00956F7A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lang w:val="en-US"/>
              </w:rPr>
            </w:pPr>
            <w:r w:rsidRPr="00241F4F">
              <w:rPr>
                <w:rFonts w:ascii="Segoe UI" w:hAnsi="Segoe UI" w:cs="Segoe UI"/>
                <w:lang w:val="en-US"/>
              </w:rPr>
              <w:t>Committee members ask questions of other members (and themselves) to justify statements and/or assumptions being made about applicants</w:t>
            </w:r>
            <w:r w:rsidR="00241F4F" w:rsidRPr="00241F4F">
              <w:rPr>
                <w:rFonts w:ascii="Segoe UI" w:hAnsi="Segoe UI" w:cs="Segoe UI"/>
                <w:lang w:val="en-US"/>
              </w:rPr>
              <w:t xml:space="preserve"> and </w:t>
            </w:r>
            <w:r w:rsidR="00241F4F" w:rsidRPr="00986C7E">
              <w:rPr>
                <w:rFonts w:ascii="Segoe UI" w:hAnsi="Segoe UI" w:cs="Segoe UI"/>
                <w:lang w:val="en-US"/>
              </w:rPr>
              <w:t>articulating the possibility of bias</w:t>
            </w:r>
          </w:p>
          <w:p w14:paraId="18C8F277" w14:textId="77777777" w:rsidR="00986C7E" w:rsidRDefault="00956F7A" w:rsidP="00986C7E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986C7E">
              <w:rPr>
                <w:rFonts w:ascii="Segoe UI" w:hAnsi="Segoe UI" w:cs="Segoe UI"/>
              </w:rPr>
              <w:t xml:space="preserve">Avoid cognitive errors, </w:t>
            </w:r>
            <w:proofErr w:type="gramStart"/>
            <w:r w:rsidRPr="00986C7E">
              <w:rPr>
                <w:rFonts w:ascii="Segoe UI" w:hAnsi="Segoe UI" w:cs="Segoe UI"/>
              </w:rPr>
              <w:t>biases</w:t>
            </w:r>
            <w:proofErr w:type="gramEnd"/>
            <w:r w:rsidRPr="00986C7E">
              <w:rPr>
                <w:rFonts w:ascii="Segoe UI" w:hAnsi="Segoe UI" w:cs="Segoe UI"/>
              </w:rPr>
              <w:t xml:space="preserve"> and personal prejudice. Statements such as “a good fit”, “needs more time”, and “that’s the ways it’s always been done” need explanation as to how they relate to the criteria. </w:t>
            </w:r>
          </w:p>
          <w:p w14:paraId="102798AC" w14:textId="344D692F" w:rsidR="00956F7A" w:rsidRPr="00986C7E" w:rsidRDefault="00956F7A" w:rsidP="00986C7E">
            <w:pPr>
              <w:pStyle w:val="ListParagraph"/>
              <w:numPr>
                <w:ilvl w:val="1"/>
                <w:numId w:val="3"/>
              </w:numPr>
              <w:rPr>
                <w:rFonts w:ascii="Segoe UI" w:hAnsi="Segoe UI" w:cs="Segoe UI"/>
              </w:rPr>
            </w:pPr>
            <w:r w:rsidRPr="00986C7E">
              <w:t>See</w:t>
            </w:r>
            <w:r w:rsidR="00986C7E" w:rsidRPr="00986C7E">
              <w:t xml:space="preserve"> </w:t>
            </w:r>
            <w:hyperlink r:id="rId7" w:history="1">
              <w:r w:rsidR="00986C7E" w:rsidRPr="00986C7E">
                <w:rPr>
                  <w:rStyle w:val="Hyperlink"/>
                  <w:rFonts w:ascii="Segoe UI" w:hAnsi="Segoe UI" w:cs="Segoe UI"/>
                </w:rPr>
                <w:t>Cognitive biases in recruitment</w:t>
              </w:r>
            </w:hyperlink>
            <w:r w:rsidR="00986C7E" w:rsidRPr="00986C7E">
              <w:t xml:space="preserve"> </w:t>
            </w:r>
            <w:r w:rsidRPr="00986C7E">
              <w:t xml:space="preserve"> </w:t>
            </w:r>
          </w:p>
          <w:p w14:paraId="5A18B3AF" w14:textId="77777777" w:rsidR="00956F7A" w:rsidRPr="004D3AC8" w:rsidRDefault="00956F7A" w:rsidP="00956F7A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4D3AC8">
              <w:rPr>
                <w:rFonts w:ascii="Segoe UI" w:hAnsi="Segoe UI" w:cs="Segoe UI"/>
              </w:rPr>
              <w:t>Evaluate missing or inconsistent information</w:t>
            </w:r>
          </w:p>
          <w:p w14:paraId="00B21912" w14:textId="77777777" w:rsidR="00956F7A" w:rsidRPr="004D3AC8" w:rsidRDefault="00956F7A" w:rsidP="00956F7A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4D3AC8">
              <w:rPr>
                <w:rFonts w:ascii="Segoe UI" w:hAnsi="Segoe UI" w:cs="Segoe UI"/>
              </w:rPr>
              <w:t>Be willing to reassess differing viewpoints</w:t>
            </w:r>
          </w:p>
          <w:p w14:paraId="4B786882" w14:textId="77777777" w:rsidR="00956F7A" w:rsidRPr="004D3AC8" w:rsidRDefault="00956F7A" w:rsidP="00956F7A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 w:rsidRPr="004D3AC8">
              <w:rPr>
                <w:rFonts w:ascii="Segoe UI" w:hAnsi="Segoe UI" w:cs="Segoe UI"/>
              </w:rPr>
              <w:t>Fairly evaluate equivalent and overseas qualifications</w:t>
            </w:r>
          </w:p>
          <w:p w14:paraId="1ED32ABD" w14:textId="2AF00336" w:rsidR="00956F7A" w:rsidRDefault="00956F7A" w:rsidP="00956F7A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Allow enough time for considered decision making</w:t>
            </w:r>
            <w:r w:rsidR="001064EF">
              <w:rPr>
                <w:rFonts w:ascii="Segoe UI" w:hAnsi="Segoe UI" w:cs="Segoe UI"/>
                <w:lang w:val="en-US"/>
              </w:rPr>
              <w:t>;</w:t>
            </w:r>
            <w:r>
              <w:rPr>
                <w:rFonts w:ascii="Segoe UI" w:hAnsi="Segoe UI" w:cs="Segoe UI"/>
                <w:lang w:val="en-US"/>
              </w:rPr>
              <w:t xml:space="preserve"> bias increases </w:t>
            </w:r>
            <w:r w:rsidR="00B35DAB">
              <w:rPr>
                <w:rFonts w:ascii="Segoe UI" w:hAnsi="Segoe UI" w:cs="Segoe UI"/>
                <w:lang w:val="en-US"/>
              </w:rPr>
              <w:t xml:space="preserve">when there are </w:t>
            </w:r>
            <w:r>
              <w:rPr>
                <w:rFonts w:ascii="Segoe UI" w:hAnsi="Segoe UI" w:cs="Segoe UI"/>
                <w:lang w:val="en-US"/>
              </w:rPr>
              <w:t>time</w:t>
            </w:r>
            <w:r w:rsidR="005E7B88">
              <w:rPr>
                <w:rFonts w:ascii="Segoe UI" w:hAnsi="Segoe UI" w:cs="Segoe UI"/>
                <w:lang w:val="en-US"/>
              </w:rPr>
              <w:t xml:space="preserve"> and </w:t>
            </w:r>
            <w:r>
              <w:rPr>
                <w:rFonts w:ascii="Segoe UI" w:hAnsi="Segoe UI" w:cs="Segoe UI"/>
                <w:lang w:val="en-US"/>
              </w:rPr>
              <w:t>cognitive pressure</w:t>
            </w:r>
            <w:r w:rsidR="00B35DAB">
              <w:rPr>
                <w:rFonts w:ascii="Segoe UI" w:hAnsi="Segoe UI" w:cs="Segoe UI"/>
                <w:lang w:val="en-US"/>
              </w:rPr>
              <w:t>s</w:t>
            </w:r>
            <w:r>
              <w:rPr>
                <w:rStyle w:val="FootnoteReference"/>
                <w:rFonts w:ascii="Segoe UI" w:hAnsi="Segoe UI" w:cs="Segoe UI"/>
                <w:lang w:val="en-US"/>
              </w:rPr>
              <w:footnoteReference w:id="5"/>
            </w:r>
          </w:p>
          <w:p w14:paraId="261B5985" w14:textId="77777777" w:rsidR="00956F7A" w:rsidRDefault="00956F7A" w:rsidP="00956F7A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Committee agrees on assessment gaps and ensure these are included in the reference checking process</w:t>
            </w:r>
          </w:p>
          <w:p w14:paraId="528F0F7A" w14:textId="77777777" w:rsidR="00956F7A" w:rsidRDefault="00956F7A" w:rsidP="00956F7A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Chair provides their assessment after everyone else</w:t>
            </w:r>
            <w:r>
              <w:rPr>
                <w:rStyle w:val="FootnoteReference"/>
                <w:rFonts w:ascii="Segoe UI" w:hAnsi="Segoe UI" w:cs="Segoe UI"/>
                <w:lang w:val="en-US"/>
              </w:rPr>
              <w:footnoteReference w:id="6"/>
            </w:r>
          </w:p>
          <w:p w14:paraId="5551929C" w14:textId="381CC1AA" w:rsidR="00956F7A" w:rsidRPr="00956F7A" w:rsidRDefault="00956F7A" w:rsidP="00956F7A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lastRenderedPageBreak/>
              <w:t xml:space="preserve">If discussion results in different views about applicants, the Chair facilitates a repeat review of the applicants </w:t>
            </w:r>
            <w:r w:rsidRPr="00956F7A">
              <w:rPr>
                <w:rFonts w:ascii="Segoe UI" w:hAnsi="Segoe UI" w:cs="Segoe UI"/>
                <w:lang w:val="en-US"/>
              </w:rPr>
              <w:t>against the criteria</w:t>
            </w:r>
          </w:p>
          <w:p w14:paraId="423E6B80" w14:textId="34A460BC" w:rsidR="00956F7A" w:rsidRPr="00956F7A" w:rsidRDefault="001064EF" w:rsidP="00956F7A">
            <w:pPr>
              <w:pStyle w:val="ListParagraph"/>
              <w:numPr>
                <w:ilvl w:val="0"/>
                <w:numId w:val="3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Committee k</w:t>
            </w:r>
            <w:r w:rsidR="00956F7A" w:rsidRPr="00956F7A">
              <w:rPr>
                <w:rFonts w:ascii="Segoe UI" w:hAnsi="Segoe UI" w:cs="Segoe UI"/>
              </w:rPr>
              <w:t>now</w:t>
            </w:r>
            <w:r>
              <w:rPr>
                <w:rFonts w:ascii="Segoe UI" w:hAnsi="Segoe UI" w:cs="Segoe UI"/>
              </w:rPr>
              <w:t>s</w:t>
            </w:r>
            <w:r w:rsidR="00956F7A" w:rsidRPr="00956F7A">
              <w:rPr>
                <w:rFonts w:ascii="Segoe UI" w:hAnsi="Segoe UI" w:cs="Segoe UI"/>
              </w:rPr>
              <w:t xml:space="preserve"> how to apply the ‘tie-breaker’ principle if there are two similarly matched applicants and one applicant is a Māori or member of an </w:t>
            </w:r>
            <w:hyperlink r:id="rId8" w:history="1">
              <w:r w:rsidR="00331294">
                <w:rPr>
                  <w:rStyle w:val="Hyperlink"/>
                  <w:rFonts w:ascii="Segoe UI" w:hAnsi="Segoe UI" w:cs="Segoe UI"/>
                </w:rPr>
                <w:t>equity group</w:t>
              </w:r>
            </w:hyperlink>
            <w:r w:rsidR="00956F7A" w:rsidRPr="00956F7A">
              <w:rPr>
                <w:rFonts w:ascii="Segoe UI" w:hAnsi="Segoe UI" w:cs="Segoe UI"/>
              </w:rPr>
              <w:t xml:space="preserve">. See the </w:t>
            </w:r>
            <w:hyperlink r:id="rId9" w:history="1">
              <w:r w:rsidR="00956F7A" w:rsidRPr="00956F7A">
                <w:rPr>
                  <w:rStyle w:val="Hyperlink"/>
                  <w:rFonts w:ascii="Segoe UI" w:hAnsi="Segoe UI" w:cs="Segoe UI"/>
                </w:rPr>
                <w:t>Academic</w:t>
              </w:r>
            </w:hyperlink>
            <w:r w:rsidR="00956F7A" w:rsidRPr="00956F7A">
              <w:rPr>
                <w:rFonts w:ascii="Segoe UI" w:hAnsi="Segoe UI" w:cs="Segoe UI"/>
              </w:rPr>
              <w:t xml:space="preserve"> (s.44) and the </w:t>
            </w:r>
            <w:hyperlink r:id="rId10" w:history="1">
              <w:r w:rsidR="00956F7A" w:rsidRPr="00956F7A">
                <w:rPr>
                  <w:rStyle w:val="Hyperlink"/>
                  <w:rFonts w:ascii="Segoe UI" w:hAnsi="Segoe UI" w:cs="Segoe UI"/>
                </w:rPr>
                <w:t>Professional</w:t>
              </w:r>
            </w:hyperlink>
            <w:r w:rsidR="00956F7A" w:rsidRPr="00956F7A">
              <w:rPr>
                <w:rFonts w:ascii="Segoe UI" w:hAnsi="Segoe UI" w:cs="Segoe UI"/>
              </w:rPr>
              <w:t xml:space="preserve"> (S.15) staff recruitment procedures</w:t>
            </w:r>
          </w:p>
          <w:p w14:paraId="306819CA" w14:textId="4E967485" w:rsidR="00241F4F" w:rsidRPr="00115B09" w:rsidRDefault="00241F4F" w:rsidP="00241F4F">
            <w:pPr>
              <w:pStyle w:val="ListParagraph"/>
              <w:ind w:left="360"/>
              <w:rPr>
                <w:rFonts w:ascii="Segoe UI" w:hAnsi="Segoe UI" w:cs="Segoe UI"/>
                <w:lang w:val="en-US"/>
              </w:rPr>
            </w:pPr>
          </w:p>
        </w:tc>
      </w:tr>
      <w:tr w:rsidR="0026565F" w:rsidRPr="00F9668B" w14:paraId="45CA8D29" w14:textId="77777777" w:rsidTr="00F70DF6">
        <w:tc>
          <w:tcPr>
            <w:tcW w:w="2972" w:type="dxa"/>
          </w:tcPr>
          <w:p w14:paraId="2D8ECF50" w14:textId="25B80EBF" w:rsidR="0026565F" w:rsidRPr="00F9668B" w:rsidRDefault="00F15F64" w:rsidP="00F70DF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Making the </w:t>
            </w:r>
            <w:r w:rsidR="00FF4BD0">
              <w:rPr>
                <w:lang w:val="en-US"/>
              </w:rPr>
              <w:t xml:space="preserve">decision </w:t>
            </w:r>
          </w:p>
        </w:tc>
        <w:tc>
          <w:tcPr>
            <w:tcW w:w="6044" w:type="dxa"/>
          </w:tcPr>
          <w:p w14:paraId="5ED303A1" w14:textId="7E6A05A7" w:rsidR="00F15F64" w:rsidRPr="00497DBE" w:rsidRDefault="00F15F64" w:rsidP="00F15F6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75" w:after="225"/>
              <w:textAlignment w:val="baseline"/>
              <w:rPr>
                <w:rFonts w:ascii="Segoe UI" w:eastAsia="Times New Roman" w:hAnsi="Segoe UI" w:cs="Segoe UI"/>
                <w:color w:val="000000"/>
                <w:spacing w:val="2"/>
                <w:lang w:val="en-US"/>
              </w:rPr>
            </w:pPr>
            <w:r w:rsidRPr="00497DBE">
              <w:rPr>
                <w:rFonts w:ascii="Segoe UI" w:eastAsia="Times New Roman" w:hAnsi="Segoe UI" w:cs="Segoe UI"/>
                <w:color w:val="000000"/>
                <w:spacing w:val="2"/>
                <w:lang w:val="en-US"/>
              </w:rPr>
              <w:t xml:space="preserve">The final decision should be determined on the basis of all elements of the selection process (i.e. written application, referee reports, </w:t>
            </w:r>
            <w:r w:rsidR="00497DBE" w:rsidRPr="00497DBE">
              <w:rPr>
                <w:rFonts w:ascii="Segoe UI" w:eastAsia="Times New Roman" w:hAnsi="Segoe UI" w:cs="Segoe UI"/>
                <w:color w:val="000000"/>
                <w:spacing w:val="2"/>
                <w:lang w:val="en-US"/>
              </w:rPr>
              <w:t>tests, presentations,</w:t>
            </w:r>
            <w:r w:rsidRPr="00497DBE">
              <w:rPr>
                <w:rFonts w:ascii="Segoe UI" w:eastAsia="Times New Roman" w:hAnsi="Segoe UI" w:cs="Segoe UI"/>
                <w:color w:val="000000"/>
                <w:spacing w:val="2"/>
                <w:lang w:val="en-US"/>
              </w:rPr>
              <w:t> and interview</w:t>
            </w:r>
            <w:r w:rsidR="001064EF">
              <w:rPr>
                <w:rFonts w:ascii="Segoe UI" w:eastAsia="Times New Roman" w:hAnsi="Segoe UI" w:cs="Segoe UI"/>
                <w:color w:val="000000"/>
                <w:spacing w:val="2"/>
                <w:lang w:val="en-US"/>
              </w:rPr>
              <w:t>, assessing both quantitative and qualitative information.</w:t>
            </w:r>
          </w:p>
          <w:p w14:paraId="5FF68A91" w14:textId="1060537E" w:rsidR="001064EF" w:rsidRDefault="00FF4BD0" w:rsidP="00F15F64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75" w:after="225"/>
              <w:textAlignment w:val="baseline"/>
              <w:rPr>
                <w:rFonts w:ascii="Segoe UI" w:eastAsia="Times New Roman" w:hAnsi="Segoe UI" w:cs="Segoe UI"/>
                <w:color w:val="000000"/>
                <w:spacing w:val="2"/>
                <w:lang w:val="en-US"/>
              </w:rPr>
            </w:pPr>
            <w:r>
              <w:rPr>
                <w:rFonts w:ascii="Segoe UI" w:eastAsia="Times New Roman" w:hAnsi="Segoe UI" w:cs="Segoe UI"/>
                <w:color w:val="000000"/>
                <w:spacing w:val="2"/>
                <w:lang w:val="en-US"/>
              </w:rPr>
              <w:t>Consideration of how significant strengths in some criteria may compensate for not meeting other criteria need to be fully discussed</w:t>
            </w:r>
          </w:p>
          <w:p w14:paraId="09D5491A" w14:textId="77777777" w:rsidR="00FF4BD0" w:rsidRDefault="00FF4BD0" w:rsidP="00FF4BD0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before="75" w:after="225"/>
              <w:textAlignment w:val="baseline"/>
              <w:rPr>
                <w:rFonts w:ascii="Segoe UI" w:eastAsia="Times New Roman" w:hAnsi="Segoe UI" w:cs="Segoe UI"/>
                <w:color w:val="000000"/>
                <w:spacing w:val="2"/>
                <w:lang w:val="en-US"/>
              </w:rPr>
            </w:pPr>
            <w:r>
              <w:rPr>
                <w:rFonts w:ascii="Segoe UI" w:eastAsia="Times New Roman" w:hAnsi="Segoe UI" w:cs="Segoe UI"/>
                <w:color w:val="000000"/>
                <w:spacing w:val="2"/>
                <w:lang w:val="en-US"/>
              </w:rPr>
              <w:t>The committee should be deliberate and apply collective judgement. Decisions must be justifiable and the committee accountable</w:t>
            </w:r>
          </w:p>
          <w:p w14:paraId="5AB3FBAA" w14:textId="0B8DA6FB" w:rsidR="00497DBE" w:rsidRPr="00956F7A" w:rsidRDefault="00497DBE" w:rsidP="00FF4BD0">
            <w:pPr>
              <w:pStyle w:val="ListParagraph"/>
              <w:shd w:val="clear" w:color="auto" w:fill="FFFFFF"/>
              <w:spacing w:before="75"/>
              <w:ind w:left="1440"/>
              <w:textAlignment w:val="baseline"/>
              <w:rPr>
                <w:lang w:val="en-US"/>
              </w:rPr>
            </w:pPr>
          </w:p>
        </w:tc>
      </w:tr>
      <w:tr w:rsidR="0026565F" w:rsidRPr="00F9668B" w14:paraId="2F101275" w14:textId="77777777" w:rsidTr="00F70DF6">
        <w:tc>
          <w:tcPr>
            <w:tcW w:w="2972" w:type="dxa"/>
          </w:tcPr>
          <w:p w14:paraId="0A4C7D2F" w14:textId="72952973" w:rsidR="0026565F" w:rsidRPr="00F9668B" w:rsidRDefault="003270CA" w:rsidP="00F70DF6">
            <w:pPr>
              <w:rPr>
                <w:lang w:val="en-US"/>
              </w:rPr>
            </w:pPr>
            <w:r>
              <w:rPr>
                <w:lang w:val="en-US"/>
              </w:rPr>
              <w:t>Structured and standardised r</w:t>
            </w:r>
            <w:r w:rsidR="00956F7A">
              <w:rPr>
                <w:lang w:val="en-US"/>
              </w:rPr>
              <w:t xml:space="preserve">eference </w:t>
            </w:r>
            <w:r>
              <w:rPr>
                <w:lang w:val="en-US"/>
              </w:rPr>
              <w:t>c</w:t>
            </w:r>
            <w:r w:rsidR="00956F7A">
              <w:rPr>
                <w:lang w:val="en-US"/>
              </w:rPr>
              <w:t>hecking</w:t>
            </w:r>
          </w:p>
        </w:tc>
        <w:tc>
          <w:tcPr>
            <w:tcW w:w="6044" w:type="dxa"/>
          </w:tcPr>
          <w:p w14:paraId="56856AA2" w14:textId="5D12B666" w:rsidR="00043E42" w:rsidRPr="00043E42" w:rsidRDefault="00956F7A" w:rsidP="00043E42">
            <w:pPr>
              <w:numPr>
                <w:ilvl w:val="0"/>
                <w:numId w:val="9"/>
              </w:numPr>
              <w:shd w:val="clear" w:color="auto" w:fill="FFFFFF"/>
              <w:spacing w:line="270" w:lineRule="atLeast"/>
              <w:ind w:left="345" w:right="120"/>
              <w:rPr>
                <w:rFonts w:ascii="Verdana" w:hAnsi="Verdana"/>
                <w:color w:val="000000"/>
                <w:sz w:val="20"/>
                <w:szCs w:val="20"/>
              </w:rPr>
            </w:pPr>
            <w:r w:rsidRPr="004D3AC8">
              <w:t>Referee reports are obtained only with the applicant</w:t>
            </w:r>
            <w:r w:rsidR="00FF4BD0">
              <w:t>’</w:t>
            </w:r>
            <w:r w:rsidRPr="004D3AC8">
              <w:t xml:space="preserve">s consent. Information sought should be consistent and relevant to the role. See </w:t>
            </w:r>
            <w:hyperlink r:id="rId11" w:tgtFrame="_blank" w:history="1">
              <w:r w:rsidR="00043E42">
                <w:rPr>
                  <w:rStyle w:val="Hyperlink"/>
                  <w:rFonts w:ascii="Verdana" w:hAnsi="Verdana"/>
                  <w:color w:val="0000CC"/>
                  <w:sz w:val="20"/>
                  <w:szCs w:val="20"/>
                  <w:bdr w:val="none" w:sz="0" w:space="0" w:color="auto" w:frame="1"/>
                </w:rPr>
                <w:t xml:space="preserve">Academic </w:t>
              </w:r>
            </w:hyperlink>
            <w:r w:rsidR="00986C7E">
              <w:rPr>
                <w:rFonts w:ascii="Verdana" w:hAnsi="Verdana"/>
                <w:color w:val="000000"/>
                <w:sz w:val="20"/>
                <w:szCs w:val="20"/>
              </w:rPr>
              <w:t xml:space="preserve">and </w:t>
            </w:r>
            <w:hyperlink r:id="rId12" w:tgtFrame="_blank" w:history="1">
              <w:r w:rsidR="00043E42">
                <w:rPr>
                  <w:rStyle w:val="Hyperlink"/>
                  <w:rFonts w:ascii="Verdana" w:hAnsi="Verdana"/>
                  <w:color w:val="0000CC"/>
                  <w:sz w:val="20"/>
                  <w:szCs w:val="20"/>
                  <w:bdr w:val="none" w:sz="0" w:space="0" w:color="auto" w:frame="1"/>
                </w:rPr>
                <w:t xml:space="preserve"> Professional </w:t>
              </w:r>
            </w:hyperlink>
            <w:r w:rsidR="00043E42" w:rsidRPr="00043E42">
              <w:rPr>
                <w:lang w:val="en-US"/>
              </w:rPr>
              <w:t>Staff Recruitment Procedures</w:t>
            </w:r>
          </w:p>
          <w:p w14:paraId="0D2A45ED" w14:textId="26D6C7BE" w:rsidR="003270CA" w:rsidRDefault="003270CA" w:rsidP="00956F7A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 xml:space="preserve">Use </w:t>
            </w:r>
            <w:r w:rsidR="00043E42">
              <w:rPr>
                <w:rFonts w:ascii="Segoe UI" w:hAnsi="Segoe UI" w:cs="Segoe UI"/>
                <w:lang w:val="en-US"/>
              </w:rPr>
              <w:t>the</w:t>
            </w:r>
            <w:r>
              <w:rPr>
                <w:rFonts w:ascii="Segoe UI" w:hAnsi="Segoe UI" w:cs="Segoe UI"/>
                <w:lang w:val="en-US"/>
              </w:rPr>
              <w:t xml:space="preserve"> same set of questions for each referee, constructed from gaps identified in the interview process and relevant to the selection criteria</w:t>
            </w:r>
          </w:p>
          <w:p w14:paraId="3819747E" w14:textId="164B5267" w:rsidR="00956F7A" w:rsidRDefault="00956F7A" w:rsidP="00956F7A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  <w:lang w:val="en-US"/>
              </w:rPr>
            </w:pPr>
            <w:r w:rsidRPr="00956F7A">
              <w:rPr>
                <w:rFonts w:ascii="Segoe UI" w:hAnsi="Segoe UI" w:cs="Segoe UI"/>
                <w:lang w:val="en-US"/>
              </w:rPr>
              <w:t>Be aware</w:t>
            </w:r>
            <w:r>
              <w:rPr>
                <w:rFonts w:ascii="Segoe UI" w:hAnsi="Segoe UI" w:cs="Segoe UI"/>
                <w:lang w:val="en-US"/>
              </w:rPr>
              <w:t xml:space="preserve"> that applicants f</w:t>
            </w:r>
            <w:r w:rsidR="00FF4BD0">
              <w:rPr>
                <w:rFonts w:ascii="Segoe UI" w:hAnsi="Segoe UI" w:cs="Segoe UI"/>
                <w:lang w:val="en-US"/>
              </w:rPr>
              <w:t>r</w:t>
            </w:r>
            <w:r w:rsidR="003270CA">
              <w:rPr>
                <w:rFonts w:ascii="Segoe UI" w:hAnsi="Segoe UI" w:cs="Segoe UI"/>
                <w:lang w:val="en-US"/>
              </w:rPr>
              <w:t>om more privileged backgrounds or with more continuous work history may have more impressive references or referees</w:t>
            </w:r>
          </w:p>
          <w:p w14:paraId="5EB8AAE8" w14:textId="77777777" w:rsidR="003270CA" w:rsidRDefault="003270CA" w:rsidP="00956F7A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 xml:space="preserve">Note that referees also have biases and that male and female applicants with the same skills are described differently </w:t>
            </w:r>
          </w:p>
          <w:p w14:paraId="217559DC" w14:textId="77777777" w:rsidR="003270CA" w:rsidRDefault="003270CA" w:rsidP="003270CA">
            <w:pPr>
              <w:rPr>
                <w:lang w:val="en-US"/>
              </w:rPr>
            </w:pPr>
          </w:p>
          <w:p w14:paraId="660A65BD" w14:textId="37EDE7D7" w:rsidR="003270CA" w:rsidRPr="003270CA" w:rsidRDefault="003270CA" w:rsidP="003270CA">
            <w:pPr>
              <w:rPr>
                <w:b/>
                <w:bCs/>
                <w:lang w:val="en-US"/>
              </w:rPr>
            </w:pPr>
            <w:r w:rsidRPr="003270CA">
              <w:rPr>
                <w:b/>
                <w:bCs/>
                <w:lang w:val="en-US"/>
              </w:rPr>
              <w:t>Research:</w:t>
            </w:r>
          </w:p>
          <w:p w14:paraId="3CE3F753" w14:textId="047E77BF" w:rsidR="003270CA" w:rsidRDefault="008306A9" w:rsidP="003270CA">
            <w:pPr>
              <w:ind w:left="720"/>
              <w:rPr>
                <w:color w:val="0070C0"/>
                <w:vertAlign w:val="superscript"/>
                <w:lang w:val="en-US"/>
              </w:rPr>
            </w:pPr>
            <w:r>
              <w:rPr>
                <w:color w:val="0070C0"/>
                <w:lang w:val="en-US"/>
              </w:rPr>
              <w:t>L</w:t>
            </w:r>
            <w:r w:rsidR="003270CA" w:rsidRPr="003270CA">
              <w:rPr>
                <w:color w:val="0070C0"/>
                <w:lang w:val="en-US"/>
              </w:rPr>
              <w:t>etters of recommendation for men were longer, made more reference to their CV, publications and accomplishments, and had less doubt raisers than did references for women</w:t>
            </w:r>
            <w:r w:rsidR="003270CA" w:rsidRPr="003270CA">
              <w:rPr>
                <w:rStyle w:val="FootnoteReference"/>
                <w:color w:val="0070C0"/>
                <w:lang w:val="en-US"/>
              </w:rPr>
              <w:footnoteReference w:id="7"/>
            </w:r>
            <w:r w:rsidR="003270CA" w:rsidRPr="003270CA">
              <w:rPr>
                <w:color w:val="0070C0"/>
                <w:vertAlign w:val="superscript"/>
                <w:lang w:val="en-US"/>
              </w:rPr>
              <w:t xml:space="preserve">, </w:t>
            </w:r>
            <w:r w:rsidR="003270CA" w:rsidRPr="003270CA">
              <w:rPr>
                <w:rStyle w:val="FootnoteReference"/>
                <w:color w:val="0070C0"/>
                <w:lang w:val="en-US"/>
              </w:rPr>
              <w:footnoteReference w:id="8"/>
            </w:r>
          </w:p>
          <w:p w14:paraId="0C05F739" w14:textId="5BE9FE34" w:rsidR="008306A9" w:rsidRDefault="008306A9" w:rsidP="003270CA">
            <w:pPr>
              <w:ind w:left="720"/>
              <w:rPr>
                <w:color w:val="0070C0"/>
                <w:vertAlign w:val="superscript"/>
                <w:lang w:val="en-US"/>
              </w:rPr>
            </w:pPr>
          </w:p>
          <w:p w14:paraId="3AC9E915" w14:textId="1BF21954" w:rsidR="008306A9" w:rsidRPr="008306A9" w:rsidRDefault="008306A9" w:rsidP="003270CA">
            <w:pPr>
              <w:ind w:left="720"/>
              <w:rPr>
                <w:color w:val="0070C0"/>
                <w:vertAlign w:val="superscript"/>
                <w:lang w:val="en-US"/>
              </w:rPr>
            </w:pPr>
            <w:r w:rsidRPr="008306A9">
              <w:rPr>
                <w:color w:val="0070C0"/>
                <w:shd w:val="clear" w:color="auto" w:fill="FFFFFF"/>
              </w:rPr>
              <w:t>Recommenders used significantly more standout adjectives to describe male as compared to female candidates</w:t>
            </w:r>
            <w:r w:rsidRPr="008306A9">
              <w:rPr>
                <w:rStyle w:val="FootnoteReference"/>
                <w:color w:val="0070C0"/>
                <w:shd w:val="clear" w:color="auto" w:fill="FFFFFF"/>
              </w:rPr>
              <w:footnoteReference w:id="9"/>
            </w:r>
          </w:p>
          <w:p w14:paraId="336B1BA3" w14:textId="1B09E7B2" w:rsidR="003270CA" w:rsidRPr="003270CA" w:rsidRDefault="003270CA" w:rsidP="003270CA">
            <w:pPr>
              <w:rPr>
                <w:lang w:val="en-US"/>
              </w:rPr>
            </w:pPr>
          </w:p>
        </w:tc>
      </w:tr>
      <w:tr w:rsidR="0026565F" w:rsidRPr="00F9668B" w14:paraId="37CA1C75" w14:textId="77777777" w:rsidTr="00F70DF6">
        <w:tc>
          <w:tcPr>
            <w:tcW w:w="2972" w:type="dxa"/>
          </w:tcPr>
          <w:p w14:paraId="09F39025" w14:textId="759CF4B3" w:rsidR="0026565F" w:rsidRPr="00F9668B" w:rsidRDefault="00956F7A" w:rsidP="00F70DF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Recommendation is transparent</w:t>
            </w:r>
            <w:r w:rsidR="008306A9">
              <w:rPr>
                <w:lang w:val="en-US"/>
              </w:rPr>
              <w:t xml:space="preserve"> and accountable</w:t>
            </w:r>
          </w:p>
        </w:tc>
        <w:tc>
          <w:tcPr>
            <w:tcW w:w="6044" w:type="dxa"/>
          </w:tcPr>
          <w:p w14:paraId="7B8C4879" w14:textId="31CE7656" w:rsidR="00956F7A" w:rsidRDefault="003F264F" w:rsidP="00956F7A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</w:rPr>
            </w:pPr>
            <w:proofErr w:type="gramStart"/>
            <w:r>
              <w:rPr>
                <w:rFonts w:ascii="Segoe UI" w:hAnsi="Segoe UI" w:cs="Segoe UI"/>
              </w:rPr>
              <w:t>The Committee Chair/hiring manager,</w:t>
            </w:r>
            <w:proofErr w:type="gramEnd"/>
            <w:r>
              <w:rPr>
                <w:rFonts w:ascii="Segoe UI" w:hAnsi="Segoe UI" w:cs="Segoe UI"/>
              </w:rPr>
              <w:t xml:space="preserve"> c</w:t>
            </w:r>
            <w:r w:rsidR="00C328E3">
              <w:rPr>
                <w:rFonts w:ascii="Segoe UI" w:hAnsi="Segoe UI" w:cs="Segoe UI"/>
              </w:rPr>
              <w:t>learly d</w:t>
            </w:r>
            <w:r w:rsidR="00956F7A" w:rsidRPr="004D3AC8">
              <w:rPr>
                <w:rFonts w:ascii="Segoe UI" w:hAnsi="Segoe UI" w:cs="Segoe UI"/>
              </w:rPr>
              <w:t>ocument</w:t>
            </w:r>
            <w:r>
              <w:rPr>
                <w:rFonts w:ascii="Segoe UI" w:hAnsi="Segoe UI" w:cs="Segoe UI"/>
              </w:rPr>
              <w:t>s</w:t>
            </w:r>
            <w:r w:rsidR="00956F7A" w:rsidRPr="004D3AC8">
              <w:rPr>
                <w:rFonts w:ascii="Segoe UI" w:hAnsi="Segoe UI" w:cs="Segoe UI"/>
              </w:rPr>
              <w:t xml:space="preserve"> </w:t>
            </w:r>
            <w:r w:rsidR="005E7B88">
              <w:rPr>
                <w:rFonts w:ascii="Segoe UI" w:hAnsi="Segoe UI" w:cs="Segoe UI"/>
              </w:rPr>
              <w:t xml:space="preserve">(in writing) </w:t>
            </w:r>
            <w:r w:rsidR="00956F7A" w:rsidRPr="004D3AC8">
              <w:rPr>
                <w:rFonts w:ascii="Segoe UI" w:hAnsi="Segoe UI" w:cs="Segoe UI"/>
              </w:rPr>
              <w:t>decisions and their rationale.</w:t>
            </w:r>
          </w:p>
          <w:p w14:paraId="7DB900F3" w14:textId="1C20F754" w:rsidR="005E7B88" w:rsidRDefault="005E7B88" w:rsidP="00956F7A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Document how the recommended applicant demonstrates how they best meet the criteria </w:t>
            </w:r>
          </w:p>
          <w:p w14:paraId="37BD1DDE" w14:textId="53DCB8BE" w:rsidR="005E7B88" w:rsidRDefault="005E7B88" w:rsidP="00956F7A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Academic positions can also refer to how the recommended applicant meets the academic standards</w:t>
            </w:r>
          </w:p>
          <w:p w14:paraId="55A839FF" w14:textId="422919E0" w:rsidR="005E7B88" w:rsidRPr="004D3AC8" w:rsidRDefault="005E7B88" w:rsidP="00956F7A">
            <w:pPr>
              <w:pStyle w:val="ListParagraph"/>
              <w:numPr>
                <w:ilvl w:val="0"/>
                <w:numId w:val="4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Note if there are any dissenting opinions.</w:t>
            </w:r>
          </w:p>
          <w:p w14:paraId="5FED906A" w14:textId="77777777" w:rsidR="0026565F" w:rsidRPr="00F9668B" w:rsidRDefault="0026565F" w:rsidP="00F70DF6">
            <w:pPr>
              <w:rPr>
                <w:lang w:val="en-US"/>
              </w:rPr>
            </w:pPr>
          </w:p>
        </w:tc>
      </w:tr>
      <w:tr w:rsidR="0026565F" w:rsidRPr="00F9668B" w14:paraId="2FDAF049" w14:textId="77777777" w:rsidTr="00F70DF6">
        <w:tc>
          <w:tcPr>
            <w:tcW w:w="2972" w:type="dxa"/>
          </w:tcPr>
          <w:p w14:paraId="65375CEE" w14:textId="28474DBE" w:rsidR="0026565F" w:rsidRPr="00F9668B" w:rsidRDefault="008306A9" w:rsidP="00F70DF6">
            <w:pPr>
              <w:rPr>
                <w:lang w:val="en-US"/>
              </w:rPr>
            </w:pPr>
            <w:r>
              <w:rPr>
                <w:lang w:val="en-US"/>
              </w:rPr>
              <w:t>Negotiation is conducted fairly and free of bias</w:t>
            </w:r>
          </w:p>
        </w:tc>
        <w:tc>
          <w:tcPr>
            <w:tcW w:w="6044" w:type="dxa"/>
          </w:tcPr>
          <w:p w14:paraId="51252064" w14:textId="5D8868C6" w:rsidR="00C365BF" w:rsidRDefault="00C365BF" w:rsidP="008306A9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>Provide information to shortlisted applicants on whether the salary offer is negotiable</w:t>
            </w:r>
          </w:p>
          <w:p w14:paraId="7F6E931C" w14:textId="0DD22013" w:rsidR="008306A9" w:rsidRPr="008306A9" w:rsidRDefault="008306A9" w:rsidP="008306A9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lang w:val="en-US"/>
              </w:rPr>
            </w:pPr>
            <w:r w:rsidRPr="008306A9">
              <w:rPr>
                <w:rFonts w:ascii="Segoe UI" w:hAnsi="Segoe UI" w:cs="Segoe UI"/>
                <w:lang w:val="en-US"/>
              </w:rPr>
              <w:t>Ensure proposed salary offers are supported by evidence and the salary is justifiable, consistent with starting salaries for the role across the University</w:t>
            </w:r>
            <w:r w:rsidR="00C365BF">
              <w:rPr>
                <w:rFonts w:ascii="Segoe UI" w:hAnsi="Segoe UI" w:cs="Segoe UI"/>
                <w:lang w:val="en-US"/>
              </w:rPr>
              <w:t>,</w:t>
            </w:r>
            <w:r w:rsidRPr="008306A9">
              <w:rPr>
                <w:rFonts w:ascii="Segoe UI" w:hAnsi="Segoe UI" w:cs="Segoe UI"/>
                <w:lang w:val="en-US"/>
              </w:rPr>
              <w:t xml:space="preserve"> free of gender bias</w:t>
            </w:r>
            <w:r w:rsidR="00C365BF">
              <w:rPr>
                <w:rFonts w:ascii="Segoe UI" w:hAnsi="Segoe UI" w:cs="Segoe UI"/>
                <w:lang w:val="en-US"/>
              </w:rPr>
              <w:t xml:space="preserve"> and reflects the full value of skills including cultural expertise, and skills gained through caring, voluntary, community work and mahi aroha</w:t>
            </w:r>
          </w:p>
          <w:p w14:paraId="4FEEFC2D" w14:textId="343D0E27" w:rsidR="008306A9" w:rsidRPr="008306A9" w:rsidRDefault="008306A9" w:rsidP="008306A9">
            <w:pPr>
              <w:pStyle w:val="ListParagraph"/>
              <w:ind w:left="360"/>
              <w:rPr>
                <w:rFonts w:ascii="Segoe UI" w:hAnsi="Segoe UI" w:cs="Segoe UI"/>
                <w:b/>
                <w:bCs/>
                <w:lang w:val="en-US"/>
              </w:rPr>
            </w:pPr>
          </w:p>
          <w:p w14:paraId="2554CCBB" w14:textId="695C8AEF" w:rsidR="008306A9" w:rsidRDefault="008306A9" w:rsidP="008306A9">
            <w:pPr>
              <w:pStyle w:val="ListParagraph"/>
              <w:ind w:left="0"/>
              <w:rPr>
                <w:rFonts w:ascii="Segoe UI" w:hAnsi="Segoe UI" w:cs="Segoe UI"/>
                <w:b/>
                <w:bCs/>
                <w:lang w:val="en-US"/>
              </w:rPr>
            </w:pPr>
            <w:r w:rsidRPr="008306A9">
              <w:rPr>
                <w:rFonts w:ascii="Segoe UI" w:hAnsi="Segoe UI" w:cs="Segoe UI"/>
                <w:b/>
                <w:bCs/>
                <w:lang w:val="en-US"/>
              </w:rPr>
              <w:t>Research:</w:t>
            </w:r>
          </w:p>
          <w:p w14:paraId="1E4AD4D5" w14:textId="2ACA38E2" w:rsidR="008306A9" w:rsidRPr="00C365BF" w:rsidRDefault="00C328E3" w:rsidP="00C328E3">
            <w:pPr>
              <w:pStyle w:val="ListParagraph"/>
              <w:rPr>
                <w:rFonts w:ascii="Segoe UI" w:hAnsi="Segoe UI" w:cs="Segoe UI"/>
                <w:color w:val="0070C0"/>
                <w:vertAlign w:val="superscript"/>
                <w:lang w:val="en-US"/>
              </w:rPr>
            </w:pPr>
            <w:r>
              <w:rPr>
                <w:rFonts w:ascii="Segoe UI" w:hAnsi="Segoe UI" w:cs="Segoe UI"/>
                <w:color w:val="0070C0"/>
                <w:lang w:val="en-US"/>
              </w:rPr>
              <w:t xml:space="preserve">Evidence suggests women </w:t>
            </w:r>
            <w:r w:rsidR="00C365BF">
              <w:rPr>
                <w:rFonts w:ascii="Segoe UI" w:hAnsi="Segoe UI" w:cs="Segoe UI"/>
                <w:color w:val="0070C0"/>
                <w:lang w:val="en-US"/>
              </w:rPr>
              <w:t>and Pacific applicants are les</w:t>
            </w:r>
            <w:r w:rsidR="0066328B">
              <w:rPr>
                <w:rFonts w:ascii="Segoe UI" w:hAnsi="Segoe UI" w:cs="Segoe UI"/>
                <w:color w:val="0070C0"/>
                <w:lang w:val="en-US"/>
              </w:rPr>
              <w:t>s likely to negotiate salary, and women generally</w:t>
            </w:r>
            <w:r w:rsidR="00C365BF">
              <w:rPr>
                <w:rFonts w:ascii="Segoe UI" w:hAnsi="Segoe UI" w:cs="Segoe UI"/>
                <w:color w:val="0070C0"/>
                <w:lang w:val="en-US"/>
              </w:rPr>
              <w:t xml:space="preserve"> </w:t>
            </w:r>
            <w:r>
              <w:rPr>
                <w:rFonts w:ascii="Segoe UI" w:hAnsi="Segoe UI" w:cs="Segoe UI"/>
                <w:color w:val="0070C0"/>
                <w:lang w:val="en-US"/>
              </w:rPr>
              <w:t>more likely to be offered lower salaries and negatively viewed if they negotiate</w:t>
            </w:r>
            <w:r>
              <w:rPr>
                <w:rStyle w:val="FootnoteReference"/>
                <w:rFonts w:ascii="Segoe UI" w:hAnsi="Segoe UI" w:cs="Segoe UI"/>
                <w:color w:val="0070C0"/>
                <w:lang w:val="en-US"/>
              </w:rPr>
              <w:footnoteReference w:id="10"/>
            </w:r>
            <w:r w:rsidR="00C365BF">
              <w:rPr>
                <w:rFonts w:ascii="Segoe UI" w:hAnsi="Segoe UI" w:cs="Segoe UI"/>
                <w:color w:val="0070C0"/>
                <w:vertAlign w:val="superscript"/>
                <w:lang w:val="en-US"/>
              </w:rPr>
              <w:t xml:space="preserve">, </w:t>
            </w:r>
            <w:r w:rsidR="00C365BF">
              <w:rPr>
                <w:rStyle w:val="FootnoteReference"/>
                <w:rFonts w:ascii="Segoe UI" w:hAnsi="Segoe UI" w:cs="Segoe UI"/>
                <w:color w:val="0070C0"/>
                <w:lang w:val="en-US"/>
              </w:rPr>
              <w:footnoteReference w:id="11"/>
            </w:r>
            <w:r w:rsidR="0066328B">
              <w:rPr>
                <w:rFonts w:ascii="Segoe UI" w:hAnsi="Segoe UI" w:cs="Segoe UI"/>
                <w:color w:val="0070C0"/>
                <w:vertAlign w:val="superscript"/>
                <w:lang w:val="en-US"/>
              </w:rPr>
              <w:t xml:space="preserve">, </w:t>
            </w:r>
            <w:r w:rsidR="0066328B">
              <w:rPr>
                <w:rStyle w:val="FootnoteReference"/>
                <w:rFonts w:ascii="Segoe UI" w:hAnsi="Segoe UI" w:cs="Segoe UI"/>
                <w:color w:val="0070C0"/>
                <w:lang w:val="en-US"/>
              </w:rPr>
              <w:footnoteReference w:id="12"/>
            </w:r>
          </w:p>
          <w:p w14:paraId="17F512B2" w14:textId="22F6FED3" w:rsidR="0026565F" w:rsidRPr="00C365BF" w:rsidRDefault="0026565F" w:rsidP="00C365BF">
            <w:pPr>
              <w:rPr>
                <w:lang w:val="en-US"/>
              </w:rPr>
            </w:pPr>
          </w:p>
        </w:tc>
      </w:tr>
      <w:tr w:rsidR="0026565F" w:rsidRPr="00F9668B" w14:paraId="5679008D" w14:textId="77777777" w:rsidTr="00F70DF6">
        <w:tc>
          <w:tcPr>
            <w:tcW w:w="2972" w:type="dxa"/>
          </w:tcPr>
          <w:p w14:paraId="067D9F02" w14:textId="6F8A6A1F" w:rsidR="0026565F" w:rsidRPr="00F9668B" w:rsidRDefault="00C365BF" w:rsidP="00F70DF6">
            <w:pPr>
              <w:rPr>
                <w:lang w:val="en-US"/>
              </w:rPr>
            </w:pPr>
            <w:r>
              <w:rPr>
                <w:lang w:val="en-US"/>
              </w:rPr>
              <w:t xml:space="preserve">Review </w:t>
            </w:r>
          </w:p>
        </w:tc>
        <w:tc>
          <w:tcPr>
            <w:tcW w:w="6044" w:type="dxa"/>
          </w:tcPr>
          <w:p w14:paraId="2F99D414" w14:textId="3868E68F" w:rsidR="0066328B" w:rsidRDefault="0066328B" w:rsidP="00C365BF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lang w:val="en-US"/>
              </w:rPr>
            </w:pPr>
            <w:r>
              <w:rPr>
                <w:rFonts w:ascii="Segoe UI" w:hAnsi="Segoe UI" w:cs="Segoe UI"/>
                <w:lang w:val="en-US"/>
              </w:rPr>
              <w:t xml:space="preserve">Chair reviews process with whole committee identifying strengths and weaknesses of the process and recommendations for future committees </w:t>
            </w:r>
          </w:p>
          <w:p w14:paraId="53291490" w14:textId="47A42DA3" w:rsidR="0026565F" w:rsidRPr="00C365BF" w:rsidRDefault="00C365BF" w:rsidP="00C365BF">
            <w:pPr>
              <w:pStyle w:val="ListParagraph"/>
              <w:numPr>
                <w:ilvl w:val="0"/>
                <w:numId w:val="6"/>
              </w:numPr>
              <w:rPr>
                <w:rFonts w:ascii="Segoe UI" w:hAnsi="Segoe UI" w:cs="Segoe UI"/>
                <w:lang w:val="en-US"/>
              </w:rPr>
            </w:pPr>
            <w:r w:rsidRPr="00C365BF">
              <w:rPr>
                <w:rFonts w:ascii="Segoe UI" w:hAnsi="Segoe UI" w:cs="Segoe UI"/>
                <w:lang w:val="en-US"/>
              </w:rPr>
              <w:t>Review numbers of applications by gender and ethnicity at each stage of the recruitment process</w:t>
            </w:r>
            <w:r w:rsidR="00986C7E">
              <w:rPr>
                <w:rFonts w:ascii="Segoe UI" w:hAnsi="Segoe UI" w:cs="Segoe UI"/>
                <w:lang w:val="en-US"/>
              </w:rPr>
              <w:t xml:space="preserve"> and discuss any apparent issues </w:t>
            </w:r>
          </w:p>
          <w:p w14:paraId="7DED25DA" w14:textId="77777777" w:rsidR="00C365BF" w:rsidRPr="00C365BF" w:rsidRDefault="00C365BF" w:rsidP="00C365BF">
            <w:pPr>
              <w:pStyle w:val="ListParagraph"/>
              <w:numPr>
                <w:ilvl w:val="0"/>
                <w:numId w:val="6"/>
              </w:numPr>
              <w:rPr>
                <w:lang w:val="en-US"/>
              </w:rPr>
            </w:pPr>
            <w:r w:rsidRPr="00C365BF">
              <w:rPr>
                <w:rFonts w:ascii="Segoe UI" w:hAnsi="Segoe UI" w:cs="Segoe UI"/>
                <w:lang w:val="en-US"/>
              </w:rPr>
              <w:t>Review department/faculty starting salaries by gender and ethnicity</w:t>
            </w:r>
          </w:p>
          <w:p w14:paraId="1C49CE38" w14:textId="3EDEA1AC" w:rsidR="00C365BF" w:rsidRPr="00C365BF" w:rsidRDefault="00C365BF" w:rsidP="00C365BF">
            <w:pPr>
              <w:pStyle w:val="ListParagraph"/>
              <w:ind w:left="360"/>
              <w:rPr>
                <w:lang w:val="en-US"/>
              </w:rPr>
            </w:pPr>
          </w:p>
        </w:tc>
      </w:tr>
      <w:tr w:rsidR="0026565F" w:rsidRPr="00F9668B" w14:paraId="52D618EB" w14:textId="77777777" w:rsidTr="00F70DF6">
        <w:tc>
          <w:tcPr>
            <w:tcW w:w="2972" w:type="dxa"/>
          </w:tcPr>
          <w:p w14:paraId="14F24379" w14:textId="77777777" w:rsidR="0026565F" w:rsidRPr="00F9668B" w:rsidRDefault="0026565F" w:rsidP="00F70DF6">
            <w:pPr>
              <w:rPr>
                <w:lang w:val="en-US"/>
              </w:rPr>
            </w:pPr>
          </w:p>
        </w:tc>
        <w:tc>
          <w:tcPr>
            <w:tcW w:w="6044" w:type="dxa"/>
          </w:tcPr>
          <w:p w14:paraId="2D132744" w14:textId="77777777" w:rsidR="0026565F" w:rsidRPr="00F9668B" w:rsidRDefault="0026565F" w:rsidP="00F70DF6">
            <w:pPr>
              <w:rPr>
                <w:lang w:val="en-US"/>
              </w:rPr>
            </w:pPr>
          </w:p>
        </w:tc>
      </w:tr>
    </w:tbl>
    <w:p w14:paraId="11A99926" w14:textId="59ACE9FD" w:rsidR="00F15F64" w:rsidRDefault="00F15F64" w:rsidP="005E7B88"/>
    <w:sectPr w:rsidR="00F15F64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28DC2" w14:textId="77777777" w:rsidR="00210AC8" w:rsidRDefault="00210AC8" w:rsidP="00210AC8">
      <w:pPr>
        <w:spacing w:after="0" w:line="240" w:lineRule="auto"/>
      </w:pPr>
      <w:r>
        <w:separator/>
      </w:r>
    </w:p>
  </w:endnote>
  <w:endnote w:type="continuationSeparator" w:id="0">
    <w:p w14:paraId="02E85350" w14:textId="77777777" w:rsidR="00210AC8" w:rsidRDefault="00210AC8" w:rsidP="00210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06DF4" w14:textId="78CC53C5" w:rsidR="003F264F" w:rsidRDefault="003F264F">
    <w:pPr>
      <w:pStyle w:val="Footer"/>
    </w:pPr>
    <w:r>
      <w:t>University of Auckland Equity Office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D8D2D" w14:textId="77777777" w:rsidR="00210AC8" w:rsidRDefault="00210AC8" w:rsidP="00210AC8">
      <w:pPr>
        <w:spacing w:after="0" w:line="240" w:lineRule="auto"/>
      </w:pPr>
      <w:r>
        <w:separator/>
      </w:r>
    </w:p>
  </w:footnote>
  <w:footnote w:type="continuationSeparator" w:id="0">
    <w:p w14:paraId="04A99CB0" w14:textId="77777777" w:rsidR="00210AC8" w:rsidRDefault="00210AC8" w:rsidP="00210AC8">
      <w:pPr>
        <w:spacing w:after="0" w:line="240" w:lineRule="auto"/>
      </w:pPr>
      <w:r>
        <w:continuationSeparator/>
      </w:r>
    </w:p>
  </w:footnote>
  <w:footnote w:id="1">
    <w:p w14:paraId="4A8E6571" w14:textId="77777777" w:rsidR="007A2B1B" w:rsidRPr="00931C1E" w:rsidRDefault="007A2B1B" w:rsidP="007A2B1B">
      <w:pPr>
        <w:pStyle w:val="FootnoteText"/>
        <w:rPr>
          <w:sz w:val="16"/>
          <w:szCs w:val="16"/>
          <w:lang w:val="mi-NZ"/>
        </w:rPr>
      </w:pPr>
      <w:r w:rsidRPr="00931C1E">
        <w:rPr>
          <w:rStyle w:val="FootnoteReference"/>
          <w:sz w:val="16"/>
          <w:szCs w:val="16"/>
        </w:rPr>
        <w:footnoteRef/>
      </w:r>
      <w:r w:rsidRPr="00931C1E">
        <w:rPr>
          <w:sz w:val="16"/>
          <w:szCs w:val="16"/>
        </w:rPr>
        <w:t xml:space="preserve"> </w:t>
      </w:r>
      <w:hyperlink r:id="rId1" w:history="1">
        <w:r w:rsidRPr="00931C1E">
          <w:rPr>
            <w:rStyle w:val="Hyperlink"/>
            <w:sz w:val="16"/>
            <w:szCs w:val="16"/>
          </w:rPr>
          <w:t>Recruitment Guidance</w:t>
        </w:r>
      </w:hyperlink>
      <w:r w:rsidRPr="00931C1E">
        <w:rPr>
          <w:sz w:val="16"/>
          <w:szCs w:val="16"/>
        </w:rPr>
        <w:t xml:space="preserve"> Public Service Commission 2019</w:t>
      </w:r>
    </w:p>
  </w:footnote>
  <w:footnote w:id="2">
    <w:p w14:paraId="53D68E0B" w14:textId="77777777" w:rsidR="007A2B1B" w:rsidRPr="00931C1E" w:rsidRDefault="007A2B1B" w:rsidP="007A2B1B">
      <w:pPr>
        <w:pStyle w:val="FootnoteText"/>
        <w:rPr>
          <w:sz w:val="16"/>
          <w:szCs w:val="16"/>
          <w:lang w:val="mi-NZ"/>
        </w:rPr>
      </w:pPr>
      <w:r w:rsidRPr="00931C1E">
        <w:rPr>
          <w:rStyle w:val="FootnoteReference"/>
          <w:sz w:val="16"/>
          <w:szCs w:val="16"/>
        </w:rPr>
        <w:footnoteRef/>
      </w:r>
      <w:r w:rsidRPr="00931C1E">
        <w:rPr>
          <w:sz w:val="16"/>
          <w:szCs w:val="16"/>
        </w:rPr>
        <w:t xml:space="preserve"> </w:t>
      </w:r>
      <w:hyperlink r:id="rId2" w:history="1">
        <w:proofErr w:type="spellStart"/>
        <w:r w:rsidRPr="00931C1E">
          <w:rPr>
            <w:rStyle w:val="Hyperlink"/>
            <w:sz w:val="16"/>
            <w:szCs w:val="16"/>
          </w:rPr>
          <w:t>Bohnet</w:t>
        </w:r>
        <w:proofErr w:type="spellEnd"/>
        <w:r w:rsidRPr="00931C1E">
          <w:rPr>
            <w:rStyle w:val="Hyperlink"/>
            <w:sz w:val="16"/>
            <w:szCs w:val="16"/>
          </w:rPr>
          <w:t>, I. HBR 2016</w:t>
        </w:r>
      </w:hyperlink>
      <w:r w:rsidRPr="00931C1E">
        <w:rPr>
          <w:sz w:val="16"/>
          <w:szCs w:val="16"/>
        </w:rPr>
        <w:t>,</w:t>
      </w:r>
    </w:p>
  </w:footnote>
  <w:footnote w:id="3">
    <w:p w14:paraId="42ED4076" w14:textId="674FA8ED" w:rsidR="007A2B1B" w:rsidRPr="00497DBE" w:rsidRDefault="007A2B1B">
      <w:pPr>
        <w:pStyle w:val="FootnoteText"/>
        <w:rPr>
          <w:sz w:val="16"/>
          <w:szCs w:val="16"/>
          <w:lang w:val="mi-NZ"/>
        </w:rPr>
      </w:pPr>
      <w:r w:rsidRPr="00497DBE">
        <w:rPr>
          <w:rStyle w:val="FootnoteReference"/>
          <w:sz w:val="16"/>
          <w:szCs w:val="16"/>
        </w:rPr>
        <w:footnoteRef/>
      </w:r>
      <w:r w:rsidRPr="00497DBE">
        <w:rPr>
          <w:sz w:val="16"/>
          <w:szCs w:val="16"/>
        </w:rPr>
        <w:t xml:space="preserve"> </w:t>
      </w:r>
      <w:hyperlink r:id="rId3" w:history="1">
        <w:proofErr w:type="spellStart"/>
        <w:r w:rsidRPr="00497DBE">
          <w:rPr>
            <w:rStyle w:val="Hyperlink"/>
            <w:sz w:val="16"/>
            <w:szCs w:val="16"/>
          </w:rPr>
          <w:t>Bohnet</w:t>
        </w:r>
        <w:proofErr w:type="spellEnd"/>
        <w:r w:rsidRPr="00497DBE">
          <w:rPr>
            <w:rStyle w:val="Hyperlink"/>
            <w:sz w:val="16"/>
            <w:szCs w:val="16"/>
          </w:rPr>
          <w:t>, van Green, Bazerman, 2015</w:t>
        </w:r>
      </w:hyperlink>
      <w:r w:rsidRPr="00497DBE">
        <w:rPr>
          <w:sz w:val="16"/>
          <w:szCs w:val="16"/>
        </w:rPr>
        <w:t xml:space="preserve"> </w:t>
      </w:r>
    </w:p>
  </w:footnote>
  <w:footnote w:id="4">
    <w:p w14:paraId="37FF6C0B" w14:textId="102E5397" w:rsidR="00931C1E" w:rsidRPr="00497DBE" w:rsidRDefault="00931C1E">
      <w:pPr>
        <w:pStyle w:val="FootnoteText"/>
        <w:rPr>
          <w:sz w:val="16"/>
          <w:szCs w:val="16"/>
          <w:lang w:val="mi-NZ"/>
        </w:rPr>
      </w:pPr>
      <w:r w:rsidRPr="00497DBE">
        <w:rPr>
          <w:rStyle w:val="FootnoteReference"/>
          <w:sz w:val="16"/>
          <w:szCs w:val="16"/>
        </w:rPr>
        <w:footnoteRef/>
      </w:r>
      <w:r w:rsidRPr="00497DBE">
        <w:rPr>
          <w:sz w:val="16"/>
          <w:szCs w:val="16"/>
        </w:rPr>
        <w:t xml:space="preserve"> </w:t>
      </w:r>
      <w:hyperlink r:id="rId4" w:history="1">
        <w:r w:rsidRPr="00497DBE">
          <w:rPr>
            <w:rStyle w:val="Hyperlink"/>
            <w:sz w:val="16"/>
            <w:szCs w:val="16"/>
          </w:rPr>
          <w:t>Isaac, Lee &amp; Carnes, 2009</w:t>
        </w:r>
      </w:hyperlink>
    </w:p>
  </w:footnote>
  <w:footnote w:id="5">
    <w:p w14:paraId="02461A63" w14:textId="77777777" w:rsidR="00956F7A" w:rsidRPr="00497DBE" w:rsidRDefault="00956F7A" w:rsidP="00956F7A">
      <w:pPr>
        <w:pStyle w:val="FootnoteText"/>
        <w:rPr>
          <w:sz w:val="16"/>
          <w:szCs w:val="16"/>
          <w:lang w:val="mi-NZ"/>
        </w:rPr>
      </w:pPr>
      <w:r w:rsidRPr="00497DBE">
        <w:rPr>
          <w:rStyle w:val="FootnoteReference"/>
          <w:sz w:val="16"/>
          <w:szCs w:val="16"/>
        </w:rPr>
        <w:footnoteRef/>
      </w:r>
      <w:r w:rsidRPr="00497DBE">
        <w:rPr>
          <w:sz w:val="16"/>
          <w:szCs w:val="16"/>
        </w:rPr>
        <w:t xml:space="preserve"> </w:t>
      </w:r>
      <w:proofErr w:type="spellStart"/>
      <w:r w:rsidRPr="00497DBE">
        <w:rPr>
          <w:sz w:val="16"/>
          <w:szCs w:val="16"/>
          <w:lang w:val="mi-NZ"/>
        </w:rPr>
        <w:t>Kahneman</w:t>
      </w:r>
      <w:proofErr w:type="spellEnd"/>
      <w:r w:rsidRPr="00497DBE">
        <w:rPr>
          <w:sz w:val="16"/>
          <w:szCs w:val="16"/>
          <w:lang w:val="mi-NZ"/>
        </w:rPr>
        <w:t xml:space="preserve">, D. </w:t>
      </w:r>
      <w:proofErr w:type="spellStart"/>
      <w:r w:rsidRPr="00497DBE">
        <w:rPr>
          <w:sz w:val="16"/>
          <w:szCs w:val="16"/>
          <w:lang w:val="mi-NZ"/>
        </w:rPr>
        <w:t>Thinking</w:t>
      </w:r>
      <w:proofErr w:type="spellEnd"/>
      <w:r w:rsidRPr="00497DBE">
        <w:rPr>
          <w:sz w:val="16"/>
          <w:szCs w:val="16"/>
          <w:lang w:val="mi-NZ"/>
        </w:rPr>
        <w:t xml:space="preserve">, </w:t>
      </w:r>
      <w:proofErr w:type="spellStart"/>
      <w:r w:rsidRPr="00497DBE">
        <w:rPr>
          <w:sz w:val="16"/>
          <w:szCs w:val="16"/>
          <w:lang w:val="mi-NZ"/>
        </w:rPr>
        <w:t>Fast</w:t>
      </w:r>
      <w:proofErr w:type="spellEnd"/>
      <w:r w:rsidRPr="00497DBE">
        <w:rPr>
          <w:sz w:val="16"/>
          <w:szCs w:val="16"/>
          <w:lang w:val="mi-NZ"/>
        </w:rPr>
        <w:t xml:space="preserve"> and </w:t>
      </w:r>
      <w:proofErr w:type="spellStart"/>
      <w:r w:rsidRPr="00497DBE">
        <w:rPr>
          <w:sz w:val="16"/>
          <w:szCs w:val="16"/>
          <w:lang w:val="mi-NZ"/>
        </w:rPr>
        <w:t>Slow</w:t>
      </w:r>
      <w:proofErr w:type="spellEnd"/>
      <w:r w:rsidRPr="00497DBE">
        <w:rPr>
          <w:sz w:val="16"/>
          <w:szCs w:val="16"/>
          <w:lang w:val="mi-NZ"/>
        </w:rPr>
        <w:t>. 2013</w:t>
      </w:r>
    </w:p>
  </w:footnote>
  <w:footnote w:id="6">
    <w:p w14:paraId="35725BF7" w14:textId="77777777" w:rsidR="00956F7A" w:rsidRPr="00497DBE" w:rsidRDefault="00956F7A" w:rsidP="00956F7A">
      <w:pPr>
        <w:pStyle w:val="FootnoteText"/>
        <w:rPr>
          <w:sz w:val="16"/>
          <w:szCs w:val="16"/>
          <w:lang w:val="mi-NZ"/>
        </w:rPr>
      </w:pPr>
      <w:r w:rsidRPr="00497DBE">
        <w:rPr>
          <w:rStyle w:val="FootnoteReference"/>
          <w:sz w:val="16"/>
          <w:szCs w:val="16"/>
        </w:rPr>
        <w:footnoteRef/>
      </w:r>
      <w:r w:rsidRPr="00497DBE">
        <w:rPr>
          <w:sz w:val="16"/>
          <w:szCs w:val="16"/>
        </w:rPr>
        <w:t xml:space="preserve"> </w:t>
      </w:r>
      <w:proofErr w:type="spellStart"/>
      <w:r w:rsidRPr="00497DBE">
        <w:rPr>
          <w:sz w:val="16"/>
          <w:szCs w:val="16"/>
          <w:lang w:val="mi-NZ"/>
        </w:rPr>
        <w:t>Cognicitiy</w:t>
      </w:r>
      <w:proofErr w:type="spellEnd"/>
      <w:r w:rsidRPr="00497DBE">
        <w:rPr>
          <w:sz w:val="16"/>
          <w:szCs w:val="16"/>
          <w:lang w:val="mi-NZ"/>
        </w:rPr>
        <w:t>, 2018</w:t>
      </w:r>
    </w:p>
  </w:footnote>
  <w:footnote w:id="7">
    <w:p w14:paraId="0A66EA64" w14:textId="1D440E68" w:rsidR="003270CA" w:rsidRPr="00C365BF" w:rsidRDefault="003270CA">
      <w:pPr>
        <w:pStyle w:val="FootnoteText"/>
        <w:rPr>
          <w:sz w:val="16"/>
          <w:szCs w:val="16"/>
          <w:lang w:val="mi-NZ"/>
        </w:rPr>
      </w:pPr>
      <w:r w:rsidRPr="003270CA">
        <w:rPr>
          <w:rStyle w:val="FootnoteReference"/>
          <w:sz w:val="16"/>
          <w:szCs w:val="16"/>
        </w:rPr>
        <w:footnoteRef/>
      </w:r>
      <w:r w:rsidRPr="003270CA">
        <w:rPr>
          <w:sz w:val="16"/>
          <w:szCs w:val="16"/>
        </w:rPr>
        <w:t xml:space="preserve"> </w:t>
      </w:r>
      <w:proofErr w:type="spellStart"/>
      <w:r w:rsidRPr="003270CA">
        <w:rPr>
          <w:sz w:val="16"/>
          <w:szCs w:val="16"/>
        </w:rPr>
        <w:t>Trix</w:t>
      </w:r>
      <w:proofErr w:type="spellEnd"/>
      <w:r w:rsidRPr="003270CA">
        <w:rPr>
          <w:sz w:val="16"/>
          <w:szCs w:val="16"/>
        </w:rPr>
        <w:t xml:space="preserve"> </w:t>
      </w:r>
      <w:r w:rsidRPr="00C365BF">
        <w:rPr>
          <w:sz w:val="16"/>
          <w:szCs w:val="16"/>
        </w:rPr>
        <w:t xml:space="preserve">&amp; </w:t>
      </w:r>
      <w:proofErr w:type="spellStart"/>
      <w:r w:rsidRPr="00C365BF">
        <w:rPr>
          <w:sz w:val="16"/>
          <w:szCs w:val="16"/>
        </w:rPr>
        <w:t>Psenka</w:t>
      </w:r>
      <w:proofErr w:type="spellEnd"/>
      <w:r w:rsidRPr="00C365BF">
        <w:rPr>
          <w:sz w:val="16"/>
          <w:szCs w:val="16"/>
        </w:rPr>
        <w:t>.</w:t>
      </w:r>
    </w:p>
  </w:footnote>
  <w:footnote w:id="8">
    <w:p w14:paraId="5ECEF0A8" w14:textId="295FFD17" w:rsidR="003270CA" w:rsidRPr="00C365BF" w:rsidRDefault="003270CA">
      <w:pPr>
        <w:pStyle w:val="FootnoteText"/>
        <w:rPr>
          <w:sz w:val="16"/>
          <w:szCs w:val="16"/>
          <w:lang w:val="mi-NZ"/>
        </w:rPr>
      </w:pPr>
      <w:r w:rsidRPr="00C365BF">
        <w:rPr>
          <w:rStyle w:val="FootnoteReference"/>
          <w:sz w:val="16"/>
          <w:szCs w:val="16"/>
        </w:rPr>
        <w:footnoteRef/>
      </w:r>
      <w:r w:rsidRPr="00C365BF">
        <w:rPr>
          <w:sz w:val="16"/>
          <w:szCs w:val="16"/>
        </w:rPr>
        <w:t xml:space="preserve"> </w:t>
      </w:r>
      <w:hyperlink r:id="rId5" w:history="1">
        <w:r w:rsidRPr="00C365BF">
          <w:rPr>
            <w:rStyle w:val="Hyperlink"/>
            <w:sz w:val="16"/>
            <w:szCs w:val="16"/>
            <w:lang w:val="en-US"/>
          </w:rPr>
          <w:t>Madera et al 2018</w:t>
        </w:r>
      </w:hyperlink>
      <w:r w:rsidRPr="00C365BF">
        <w:rPr>
          <w:sz w:val="16"/>
          <w:szCs w:val="16"/>
          <w:lang w:val="mi-NZ"/>
        </w:rPr>
        <w:t xml:space="preserve"> </w:t>
      </w:r>
    </w:p>
  </w:footnote>
  <w:footnote w:id="9">
    <w:p w14:paraId="31C25A32" w14:textId="4FE16289" w:rsidR="008306A9" w:rsidRPr="00C365BF" w:rsidRDefault="008306A9">
      <w:pPr>
        <w:pStyle w:val="FootnoteText"/>
        <w:rPr>
          <w:sz w:val="16"/>
          <w:szCs w:val="16"/>
          <w:lang w:val="mi-NZ"/>
        </w:rPr>
      </w:pPr>
      <w:r w:rsidRPr="00C365BF">
        <w:rPr>
          <w:rStyle w:val="FootnoteReference"/>
          <w:sz w:val="16"/>
          <w:szCs w:val="16"/>
        </w:rPr>
        <w:footnoteRef/>
      </w:r>
      <w:r w:rsidRPr="00C365BF">
        <w:rPr>
          <w:sz w:val="16"/>
          <w:szCs w:val="16"/>
        </w:rPr>
        <w:t xml:space="preserve"> </w:t>
      </w:r>
      <w:hyperlink r:id="rId6" w:history="1">
        <w:proofErr w:type="spellStart"/>
        <w:r w:rsidRPr="00C365BF">
          <w:rPr>
            <w:rStyle w:val="Hyperlink"/>
            <w:sz w:val="16"/>
            <w:szCs w:val="16"/>
          </w:rPr>
          <w:t>Schmader</w:t>
        </w:r>
        <w:proofErr w:type="spellEnd"/>
        <w:r w:rsidRPr="00C365BF">
          <w:rPr>
            <w:rStyle w:val="Hyperlink"/>
            <w:sz w:val="16"/>
            <w:szCs w:val="16"/>
          </w:rPr>
          <w:t xml:space="preserve"> 2007</w:t>
        </w:r>
      </w:hyperlink>
      <w:r w:rsidRPr="00C365BF">
        <w:rPr>
          <w:sz w:val="16"/>
          <w:szCs w:val="16"/>
        </w:rPr>
        <w:t xml:space="preserve"> </w:t>
      </w:r>
    </w:p>
  </w:footnote>
  <w:footnote w:id="10">
    <w:p w14:paraId="381E815C" w14:textId="3AB3379B" w:rsidR="00C328E3" w:rsidRPr="00C365BF" w:rsidRDefault="00C328E3">
      <w:pPr>
        <w:pStyle w:val="FootnoteText"/>
        <w:rPr>
          <w:sz w:val="16"/>
          <w:szCs w:val="16"/>
          <w:lang w:val="mi-NZ"/>
        </w:rPr>
      </w:pPr>
      <w:r w:rsidRPr="00C365BF">
        <w:rPr>
          <w:rStyle w:val="FootnoteReference"/>
          <w:sz w:val="16"/>
          <w:szCs w:val="16"/>
        </w:rPr>
        <w:footnoteRef/>
      </w:r>
      <w:r w:rsidRPr="00C365BF">
        <w:rPr>
          <w:sz w:val="16"/>
          <w:szCs w:val="16"/>
        </w:rPr>
        <w:t xml:space="preserve"> </w:t>
      </w:r>
      <w:hyperlink r:id="rId7" w:history="1">
        <w:r w:rsidRPr="00C365BF">
          <w:rPr>
            <w:rStyle w:val="Hyperlink"/>
            <w:sz w:val="16"/>
            <w:szCs w:val="16"/>
          </w:rPr>
          <w:t>https://www.willistowerswatson.com/en-NZ/Insights/2017/09/Redefining-negotiation-a-social-process-in-which-we-can-all-excel</w:t>
        </w:r>
      </w:hyperlink>
      <w:r w:rsidRPr="00C365BF">
        <w:rPr>
          <w:sz w:val="16"/>
          <w:szCs w:val="16"/>
        </w:rPr>
        <w:t xml:space="preserve"> </w:t>
      </w:r>
    </w:p>
  </w:footnote>
  <w:footnote w:id="11">
    <w:p w14:paraId="5C8466A5" w14:textId="109A0EDE" w:rsidR="00C365BF" w:rsidRPr="00C365BF" w:rsidRDefault="00C365BF">
      <w:pPr>
        <w:pStyle w:val="FootnoteText"/>
        <w:rPr>
          <w:lang w:val="mi-NZ"/>
        </w:rPr>
      </w:pPr>
      <w:r w:rsidRPr="00C365BF">
        <w:rPr>
          <w:rStyle w:val="FootnoteReference"/>
          <w:sz w:val="16"/>
          <w:szCs w:val="16"/>
        </w:rPr>
        <w:footnoteRef/>
      </w:r>
      <w:r w:rsidRPr="00C365BF">
        <w:rPr>
          <w:sz w:val="16"/>
          <w:szCs w:val="16"/>
        </w:rPr>
        <w:t xml:space="preserve"> </w:t>
      </w:r>
      <w:proofErr w:type="spellStart"/>
      <w:r w:rsidRPr="00C365BF">
        <w:rPr>
          <w:sz w:val="16"/>
          <w:szCs w:val="16"/>
          <w:lang w:val="mi-NZ"/>
        </w:rPr>
        <w:t>Bowles</w:t>
      </w:r>
      <w:proofErr w:type="spellEnd"/>
      <w:r w:rsidRPr="00C365BF">
        <w:rPr>
          <w:sz w:val="16"/>
          <w:szCs w:val="16"/>
          <w:lang w:val="mi-NZ"/>
        </w:rPr>
        <w:t xml:space="preserve"> and </w:t>
      </w:r>
      <w:proofErr w:type="spellStart"/>
      <w:r w:rsidRPr="00C365BF">
        <w:rPr>
          <w:sz w:val="16"/>
          <w:szCs w:val="16"/>
          <w:lang w:val="mi-NZ"/>
        </w:rPr>
        <w:t>Badcock</w:t>
      </w:r>
      <w:proofErr w:type="spellEnd"/>
      <w:r w:rsidRPr="00C365BF">
        <w:rPr>
          <w:sz w:val="16"/>
          <w:szCs w:val="16"/>
          <w:lang w:val="mi-NZ"/>
        </w:rPr>
        <w:t>, 2013</w:t>
      </w:r>
    </w:p>
  </w:footnote>
  <w:footnote w:id="12">
    <w:p w14:paraId="2AF4F891" w14:textId="695066A0" w:rsidR="0066328B" w:rsidRPr="0066328B" w:rsidRDefault="0066328B">
      <w:pPr>
        <w:pStyle w:val="FootnoteText"/>
        <w:rPr>
          <w:lang w:val="mi-NZ"/>
        </w:rPr>
      </w:pPr>
      <w:r w:rsidRPr="0066328B">
        <w:rPr>
          <w:rStyle w:val="FootnoteReference"/>
          <w:sz w:val="16"/>
          <w:szCs w:val="16"/>
        </w:rPr>
        <w:footnoteRef/>
      </w:r>
      <w:r w:rsidRPr="0066328B">
        <w:rPr>
          <w:sz w:val="16"/>
          <w:szCs w:val="16"/>
        </w:rPr>
        <w:t xml:space="preserve"> </w:t>
      </w:r>
      <w:hyperlink r:id="rId8" w:history="1">
        <w:r w:rsidRPr="0066328B">
          <w:rPr>
            <w:rStyle w:val="Hyperlink"/>
            <w:sz w:val="16"/>
            <w:szCs w:val="16"/>
          </w:rPr>
          <w:t>Recruitment Guidance</w:t>
        </w:r>
      </w:hyperlink>
      <w:r w:rsidRPr="004C4EA8">
        <w:rPr>
          <w:sz w:val="16"/>
          <w:szCs w:val="16"/>
        </w:rPr>
        <w:t xml:space="preserve"> Public Service Commission 2019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E3AD6" w14:textId="011D5A19" w:rsidR="00177C9F" w:rsidRDefault="003F264F" w:rsidP="003F264F">
    <w:pPr>
      <w:pStyle w:val="Header"/>
      <w:ind w:left="7200"/>
    </w:pPr>
    <w:r>
      <w:rPr>
        <w:noProof/>
      </w:rPr>
      <w:drawing>
        <wp:inline distT="0" distB="0" distL="0" distR="0" wp14:anchorId="212CDE26" wp14:editId="51532AC0">
          <wp:extent cx="1375410" cy="454660"/>
          <wp:effectExtent l="0" t="0" r="0" b="254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410" cy="454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0544"/>
    <w:multiLevelType w:val="multilevel"/>
    <w:tmpl w:val="7900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72DBA"/>
    <w:multiLevelType w:val="hybridMultilevel"/>
    <w:tmpl w:val="F7C4D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153474"/>
    <w:multiLevelType w:val="hybridMultilevel"/>
    <w:tmpl w:val="1C08B2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752F5"/>
    <w:multiLevelType w:val="hybridMultilevel"/>
    <w:tmpl w:val="7F5EC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E74B04"/>
    <w:multiLevelType w:val="hybridMultilevel"/>
    <w:tmpl w:val="1FC06D96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7D5167"/>
    <w:multiLevelType w:val="hybridMultilevel"/>
    <w:tmpl w:val="064AB2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764DCB"/>
    <w:multiLevelType w:val="hybridMultilevel"/>
    <w:tmpl w:val="3B00C83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2E0F62"/>
    <w:multiLevelType w:val="multilevel"/>
    <w:tmpl w:val="ADD2C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4C386F"/>
    <w:multiLevelType w:val="hybridMultilevel"/>
    <w:tmpl w:val="5F26B9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5F"/>
    <w:rsid w:val="00005F12"/>
    <w:rsid w:val="000104F1"/>
    <w:rsid w:val="00012A35"/>
    <w:rsid w:val="00012D36"/>
    <w:rsid w:val="000136D5"/>
    <w:rsid w:val="0003428A"/>
    <w:rsid w:val="000432FC"/>
    <w:rsid w:val="00043E42"/>
    <w:rsid w:val="000534D5"/>
    <w:rsid w:val="0005498E"/>
    <w:rsid w:val="00063B17"/>
    <w:rsid w:val="000826EE"/>
    <w:rsid w:val="00082EE3"/>
    <w:rsid w:val="00083A19"/>
    <w:rsid w:val="00091871"/>
    <w:rsid w:val="00092D0F"/>
    <w:rsid w:val="00095AC0"/>
    <w:rsid w:val="000B071C"/>
    <w:rsid w:val="000B2509"/>
    <w:rsid w:val="000B3248"/>
    <w:rsid w:val="000C007F"/>
    <w:rsid w:val="000C2AAF"/>
    <w:rsid w:val="000C4DCA"/>
    <w:rsid w:val="000C6A3A"/>
    <w:rsid w:val="000D6462"/>
    <w:rsid w:val="000E0347"/>
    <w:rsid w:val="000E3D5F"/>
    <w:rsid w:val="000E4FDB"/>
    <w:rsid w:val="000F7902"/>
    <w:rsid w:val="00102F38"/>
    <w:rsid w:val="001060BD"/>
    <w:rsid w:val="001064EF"/>
    <w:rsid w:val="00110187"/>
    <w:rsid w:val="00115B09"/>
    <w:rsid w:val="00121A2E"/>
    <w:rsid w:val="00123C88"/>
    <w:rsid w:val="00125C79"/>
    <w:rsid w:val="00126DBB"/>
    <w:rsid w:val="001411FD"/>
    <w:rsid w:val="00141B1C"/>
    <w:rsid w:val="00142A01"/>
    <w:rsid w:val="00151E7F"/>
    <w:rsid w:val="00154ABE"/>
    <w:rsid w:val="00154B49"/>
    <w:rsid w:val="00163B25"/>
    <w:rsid w:val="001658CD"/>
    <w:rsid w:val="0017085B"/>
    <w:rsid w:val="001709FA"/>
    <w:rsid w:val="00172323"/>
    <w:rsid w:val="00177C0B"/>
    <w:rsid w:val="00177C9F"/>
    <w:rsid w:val="001814E9"/>
    <w:rsid w:val="00182BB4"/>
    <w:rsid w:val="001834BF"/>
    <w:rsid w:val="001850AC"/>
    <w:rsid w:val="00186152"/>
    <w:rsid w:val="001866B9"/>
    <w:rsid w:val="001866D2"/>
    <w:rsid w:val="001904C2"/>
    <w:rsid w:val="0019091E"/>
    <w:rsid w:val="001A1797"/>
    <w:rsid w:val="001A63D6"/>
    <w:rsid w:val="001B2313"/>
    <w:rsid w:val="001D43A4"/>
    <w:rsid w:val="001E2229"/>
    <w:rsid w:val="001E404C"/>
    <w:rsid w:val="001F0E2A"/>
    <w:rsid w:val="001F25BC"/>
    <w:rsid w:val="001F2AC3"/>
    <w:rsid w:val="001F59B4"/>
    <w:rsid w:val="001F7CA1"/>
    <w:rsid w:val="00203687"/>
    <w:rsid w:val="002070DC"/>
    <w:rsid w:val="00207107"/>
    <w:rsid w:val="00207CF0"/>
    <w:rsid w:val="00210AC8"/>
    <w:rsid w:val="002115E5"/>
    <w:rsid w:val="002136E0"/>
    <w:rsid w:val="00220C2C"/>
    <w:rsid w:val="00221235"/>
    <w:rsid w:val="00223289"/>
    <w:rsid w:val="002235FE"/>
    <w:rsid w:val="00224E64"/>
    <w:rsid w:val="00227C37"/>
    <w:rsid w:val="002344C2"/>
    <w:rsid w:val="00241F4F"/>
    <w:rsid w:val="00245D57"/>
    <w:rsid w:val="00247041"/>
    <w:rsid w:val="0024796F"/>
    <w:rsid w:val="00257BDF"/>
    <w:rsid w:val="002608EE"/>
    <w:rsid w:val="0026565F"/>
    <w:rsid w:val="00266A97"/>
    <w:rsid w:val="00277D15"/>
    <w:rsid w:val="00281B9D"/>
    <w:rsid w:val="002867C0"/>
    <w:rsid w:val="0029318F"/>
    <w:rsid w:val="0029381C"/>
    <w:rsid w:val="00294736"/>
    <w:rsid w:val="002A23DF"/>
    <w:rsid w:val="002A528E"/>
    <w:rsid w:val="002B29D5"/>
    <w:rsid w:val="002B5FB9"/>
    <w:rsid w:val="002C74B9"/>
    <w:rsid w:val="002D3229"/>
    <w:rsid w:val="002D3CB0"/>
    <w:rsid w:val="002D4873"/>
    <w:rsid w:val="002D6DB2"/>
    <w:rsid w:val="002E63ED"/>
    <w:rsid w:val="002E68CB"/>
    <w:rsid w:val="002F4A8C"/>
    <w:rsid w:val="002F5606"/>
    <w:rsid w:val="00301FC2"/>
    <w:rsid w:val="00307315"/>
    <w:rsid w:val="0031333E"/>
    <w:rsid w:val="00313495"/>
    <w:rsid w:val="00314A6D"/>
    <w:rsid w:val="0032195F"/>
    <w:rsid w:val="003270CA"/>
    <w:rsid w:val="00327EBC"/>
    <w:rsid w:val="00331294"/>
    <w:rsid w:val="00336725"/>
    <w:rsid w:val="003429CA"/>
    <w:rsid w:val="003430AB"/>
    <w:rsid w:val="0034388F"/>
    <w:rsid w:val="003447BB"/>
    <w:rsid w:val="003511CD"/>
    <w:rsid w:val="00351598"/>
    <w:rsid w:val="00355614"/>
    <w:rsid w:val="003568FA"/>
    <w:rsid w:val="00361D19"/>
    <w:rsid w:val="00362A82"/>
    <w:rsid w:val="00364C10"/>
    <w:rsid w:val="00371D47"/>
    <w:rsid w:val="00372B29"/>
    <w:rsid w:val="00384F58"/>
    <w:rsid w:val="00385B16"/>
    <w:rsid w:val="00386140"/>
    <w:rsid w:val="003866E5"/>
    <w:rsid w:val="003911A5"/>
    <w:rsid w:val="0039493F"/>
    <w:rsid w:val="00395624"/>
    <w:rsid w:val="003A135E"/>
    <w:rsid w:val="003A3C98"/>
    <w:rsid w:val="003A6B04"/>
    <w:rsid w:val="003B186E"/>
    <w:rsid w:val="003B2B0E"/>
    <w:rsid w:val="003B5B09"/>
    <w:rsid w:val="003B6C2F"/>
    <w:rsid w:val="003C1E66"/>
    <w:rsid w:val="003C2BC9"/>
    <w:rsid w:val="003C66B4"/>
    <w:rsid w:val="003D46B2"/>
    <w:rsid w:val="003D77D4"/>
    <w:rsid w:val="003E12F5"/>
    <w:rsid w:val="003E46BC"/>
    <w:rsid w:val="003E47E6"/>
    <w:rsid w:val="003E5036"/>
    <w:rsid w:val="003E7FE0"/>
    <w:rsid w:val="003F06A2"/>
    <w:rsid w:val="003F0FD6"/>
    <w:rsid w:val="003F264F"/>
    <w:rsid w:val="003F4A25"/>
    <w:rsid w:val="00403504"/>
    <w:rsid w:val="004038AA"/>
    <w:rsid w:val="004051DD"/>
    <w:rsid w:val="00414B51"/>
    <w:rsid w:val="00423C0F"/>
    <w:rsid w:val="00425C9C"/>
    <w:rsid w:val="00442037"/>
    <w:rsid w:val="0044226D"/>
    <w:rsid w:val="00445828"/>
    <w:rsid w:val="00451CED"/>
    <w:rsid w:val="00467D15"/>
    <w:rsid w:val="00474B4E"/>
    <w:rsid w:val="00475C10"/>
    <w:rsid w:val="00476E57"/>
    <w:rsid w:val="00480C41"/>
    <w:rsid w:val="00481619"/>
    <w:rsid w:val="004841BD"/>
    <w:rsid w:val="00487232"/>
    <w:rsid w:val="004872B0"/>
    <w:rsid w:val="004933DA"/>
    <w:rsid w:val="00493632"/>
    <w:rsid w:val="00494308"/>
    <w:rsid w:val="00496DB8"/>
    <w:rsid w:val="00497DBE"/>
    <w:rsid w:val="004A2AD3"/>
    <w:rsid w:val="004B2015"/>
    <w:rsid w:val="004C4943"/>
    <w:rsid w:val="004C54E2"/>
    <w:rsid w:val="004C7C26"/>
    <w:rsid w:val="004D031D"/>
    <w:rsid w:val="004D06D8"/>
    <w:rsid w:val="004D1F27"/>
    <w:rsid w:val="004D2FDD"/>
    <w:rsid w:val="004D3F36"/>
    <w:rsid w:val="004D5222"/>
    <w:rsid w:val="004D788B"/>
    <w:rsid w:val="004E1774"/>
    <w:rsid w:val="004F24D5"/>
    <w:rsid w:val="004F39AD"/>
    <w:rsid w:val="004F44F5"/>
    <w:rsid w:val="0050155A"/>
    <w:rsid w:val="0050295B"/>
    <w:rsid w:val="00507025"/>
    <w:rsid w:val="00514C53"/>
    <w:rsid w:val="005239E3"/>
    <w:rsid w:val="0052451E"/>
    <w:rsid w:val="00527621"/>
    <w:rsid w:val="00530494"/>
    <w:rsid w:val="0053230E"/>
    <w:rsid w:val="00532C77"/>
    <w:rsid w:val="00537A6A"/>
    <w:rsid w:val="00541CBA"/>
    <w:rsid w:val="00541E13"/>
    <w:rsid w:val="00544694"/>
    <w:rsid w:val="00551112"/>
    <w:rsid w:val="00560697"/>
    <w:rsid w:val="00560ABD"/>
    <w:rsid w:val="00564D82"/>
    <w:rsid w:val="00566595"/>
    <w:rsid w:val="00570584"/>
    <w:rsid w:val="0057619F"/>
    <w:rsid w:val="005769AE"/>
    <w:rsid w:val="0058377D"/>
    <w:rsid w:val="00584D48"/>
    <w:rsid w:val="005A3FA9"/>
    <w:rsid w:val="005A72ED"/>
    <w:rsid w:val="005B3AF5"/>
    <w:rsid w:val="005C45C8"/>
    <w:rsid w:val="005C50CF"/>
    <w:rsid w:val="005E00F9"/>
    <w:rsid w:val="005E5801"/>
    <w:rsid w:val="005E77CA"/>
    <w:rsid w:val="005E7B88"/>
    <w:rsid w:val="005F3718"/>
    <w:rsid w:val="005F6F5F"/>
    <w:rsid w:val="00625A5B"/>
    <w:rsid w:val="00626CC3"/>
    <w:rsid w:val="00637521"/>
    <w:rsid w:val="00640148"/>
    <w:rsid w:val="00660871"/>
    <w:rsid w:val="0066328B"/>
    <w:rsid w:val="00665848"/>
    <w:rsid w:val="00666629"/>
    <w:rsid w:val="00666C03"/>
    <w:rsid w:val="00674A16"/>
    <w:rsid w:val="00675CDE"/>
    <w:rsid w:val="00676DE2"/>
    <w:rsid w:val="00685C01"/>
    <w:rsid w:val="0068734A"/>
    <w:rsid w:val="00687FA2"/>
    <w:rsid w:val="00697D36"/>
    <w:rsid w:val="00697D9F"/>
    <w:rsid w:val="006B1AA4"/>
    <w:rsid w:val="006B2D44"/>
    <w:rsid w:val="006C3990"/>
    <w:rsid w:val="006C4451"/>
    <w:rsid w:val="006C4692"/>
    <w:rsid w:val="006D22FC"/>
    <w:rsid w:val="006D487B"/>
    <w:rsid w:val="006D5123"/>
    <w:rsid w:val="006E5B6A"/>
    <w:rsid w:val="006F10AC"/>
    <w:rsid w:val="006F1B37"/>
    <w:rsid w:val="006F6DDC"/>
    <w:rsid w:val="00704A72"/>
    <w:rsid w:val="00705FF3"/>
    <w:rsid w:val="00707C57"/>
    <w:rsid w:val="00714FE0"/>
    <w:rsid w:val="00722CBD"/>
    <w:rsid w:val="00722EC8"/>
    <w:rsid w:val="00724D70"/>
    <w:rsid w:val="00724E2F"/>
    <w:rsid w:val="00731ECB"/>
    <w:rsid w:val="00753D94"/>
    <w:rsid w:val="0075569F"/>
    <w:rsid w:val="00755821"/>
    <w:rsid w:val="00767C29"/>
    <w:rsid w:val="00784BCC"/>
    <w:rsid w:val="0078577B"/>
    <w:rsid w:val="00786C59"/>
    <w:rsid w:val="00786F48"/>
    <w:rsid w:val="00787F13"/>
    <w:rsid w:val="007933CE"/>
    <w:rsid w:val="007955C7"/>
    <w:rsid w:val="007A2B1B"/>
    <w:rsid w:val="007C15D0"/>
    <w:rsid w:val="007C68F4"/>
    <w:rsid w:val="007D20C4"/>
    <w:rsid w:val="007D5D14"/>
    <w:rsid w:val="007E010D"/>
    <w:rsid w:val="007F49F5"/>
    <w:rsid w:val="00801852"/>
    <w:rsid w:val="00803C87"/>
    <w:rsid w:val="00811FE4"/>
    <w:rsid w:val="00812C1F"/>
    <w:rsid w:val="008223BF"/>
    <w:rsid w:val="0082651C"/>
    <w:rsid w:val="0082654C"/>
    <w:rsid w:val="008306A9"/>
    <w:rsid w:val="00833666"/>
    <w:rsid w:val="008424ED"/>
    <w:rsid w:val="00866B4E"/>
    <w:rsid w:val="00870B50"/>
    <w:rsid w:val="00874408"/>
    <w:rsid w:val="00874F97"/>
    <w:rsid w:val="00876580"/>
    <w:rsid w:val="00877FD9"/>
    <w:rsid w:val="008810B0"/>
    <w:rsid w:val="00882FAE"/>
    <w:rsid w:val="008866FB"/>
    <w:rsid w:val="00887D23"/>
    <w:rsid w:val="008915A2"/>
    <w:rsid w:val="008A2F6D"/>
    <w:rsid w:val="008A46BB"/>
    <w:rsid w:val="008C3C19"/>
    <w:rsid w:val="008D1EC5"/>
    <w:rsid w:val="008D2337"/>
    <w:rsid w:val="008D6FC7"/>
    <w:rsid w:val="008D7A2D"/>
    <w:rsid w:val="008E08D0"/>
    <w:rsid w:val="008E140D"/>
    <w:rsid w:val="008E3282"/>
    <w:rsid w:val="008F1DF8"/>
    <w:rsid w:val="008F5E40"/>
    <w:rsid w:val="008F64F1"/>
    <w:rsid w:val="009005FE"/>
    <w:rsid w:val="00900B63"/>
    <w:rsid w:val="00902EF8"/>
    <w:rsid w:val="00904524"/>
    <w:rsid w:val="0091143C"/>
    <w:rsid w:val="00930B59"/>
    <w:rsid w:val="00931C1E"/>
    <w:rsid w:val="00935B26"/>
    <w:rsid w:val="00937654"/>
    <w:rsid w:val="0094038D"/>
    <w:rsid w:val="00942CF1"/>
    <w:rsid w:val="0094503D"/>
    <w:rsid w:val="0094682F"/>
    <w:rsid w:val="009542EA"/>
    <w:rsid w:val="00956837"/>
    <w:rsid w:val="00956F7A"/>
    <w:rsid w:val="00963B80"/>
    <w:rsid w:val="009853F3"/>
    <w:rsid w:val="00986C7E"/>
    <w:rsid w:val="00986EC9"/>
    <w:rsid w:val="009A02D4"/>
    <w:rsid w:val="009A0A32"/>
    <w:rsid w:val="009A2557"/>
    <w:rsid w:val="009A6FEC"/>
    <w:rsid w:val="009C6981"/>
    <w:rsid w:val="009D08E1"/>
    <w:rsid w:val="009D2104"/>
    <w:rsid w:val="009D29D0"/>
    <w:rsid w:val="009D38DB"/>
    <w:rsid w:val="009D53AC"/>
    <w:rsid w:val="009D5466"/>
    <w:rsid w:val="009D6CE1"/>
    <w:rsid w:val="009E2B0D"/>
    <w:rsid w:val="009E318E"/>
    <w:rsid w:val="009E45E3"/>
    <w:rsid w:val="009F0AEA"/>
    <w:rsid w:val="00A0045E"/>
    <w:rsid w:val="00A026BF"/>
    <w:rsid w:val="00A04529"/>
    <w:rsid w:val="00A05228"/>
    <w:rsid w:val="00A12F11"/>
    <w:rsid w:val="00A145D6"/>
    <w:rsid w:val="00A16BF3"/>
    <w:rsid w:val="00A20BC1"/>
    <w:rsid w:val="00A25DB9"/>
    <w:rsid w:val="00A2734D"/>
    <w:rsid w:val="00A30469"/>
    <w:rsid w:val="00A50AD3"/>
    <w:rsid w:val="00A5185C"/>
    <w:rsid w:val="00A57850"/>
    <w:rsid w:val="00A66377"/>
    <w:rsid w:val="00A732ED"/>
    <w:rsid w:val="00A74159"/>
    <w:rsid w:val="00A74C00"/>
    <w:rsid w:val="00A75362"/>
    <w:rsid w:val="00A84A11"/>
    <w:rsid w:val="00A91887"/>
    <w:rsid w:val="00A924B9"/>
    <w:rsid w:val="00AA35D1"/>
    <w:rsid w:val="00AB250C"/>
    <w:rsid w:val="00AB3CFC"/>
    <w:rsid w:val="00AB7424"/>
    <w:rsid w:val="00AB7482"/>
    <w:rsid w:val="00AC27DA"/>
    <w:rsid w:val="00AC7837"/>
    <w:rsid w:val="00AD0AA5"/>
    <w:rsid w:val="00AD79A7"/>
    <w:rsid w:val="00AE77EA"/>
    <w:rsid w:val="00AF0FF0"/>
    <w:rsid w:val="00AF1721"/>
    <w:rsid w:val="00AF176D"/>
    <w:rsid w:val="00AF39CE"/>
    <w:rsid w:val="00B0024F"/>
    <w:rsid w:val="00B013DD"/>
    <w:rsid w:val="00B20867"/>
    <w:rsid w:val="00B20FBB"/>
    <w:rsid w:val="00B25808"/>
    <w:rsid w:val="00B25A50"/>
    <w:rsid w:val="00B27702"/>
    <w:rsid w:val="00B35DAB"/>
    <w:rsid w:val="00B374B6"/>
    <w:rsid w:val="00B57E3D"/>
    <w:rsid w:val="00B6057C"/>
    <w:rsid w:val="00B674A2"/>
    <w:rsid w:val="00B973EA"/>
    <w:rsid w:val="00BA2077"/>
    <w:rsid w:val="00BA2820"/>
    <w:rsid w:val="00BA3B06"/>
    <w:rsid w:val="00BA67F1"/>
    <w:rsid w:val="00BB7EE0"/>
    <w:rsid w:val="00BC130E"/>
    <w:rsid w:val="00BC6F7B"/>
    <w:rsid w:val="00BD39BF"/>
    <w:rsid w:val="00BD7806"/>
    <w:rsid w:val="00BE0CDB"/>
    <w:rsid w:val="00BE2260"/>
    <w:rsid w:val="00BE2E8B"/>
    <w:rsid w:val="00BF003E"/>
    <w:rsid w:val="00BF3964"/>
    <w:rsid w:val="00C12E40"/>
    <w:rsid w:val="00C22FFC"/>
    <w:rsid w:val="00C30148"/>
    <w:rsid w:val="00C328E3"/>
    <w:rsid w:val="00C35844"/>
    <w:rsid w:val="00C365BF"/>
    <w:rsid w:val="00C513CA"/>
    <w:rsid w:val="00C665EC"/>
    <w:rsid w:val="00C81D42"/>
    <w:rsid w:val="00C90362"/>
    <w:rsid w:val="00C97C20"/>
    <w:rsid w:val="00CA24F6"/>
    <w:rsid w:val="00CA2ECB"/>
    <w:rsid w:val="00CA3A8C"/>
    <w:rsid w:val="00CB0322"/>
    <w:rsid w:val="00CB308E"/>
    <w:rsid w:val="00CC091E"/>
    <w:rsid w:val="00CD0E38"/>
    <w:rsid w:val="00CD2ABA"/>
    <w:rsid w:val="00CE178D"/>
    <w:rsid w:val="00CE4578"/>
    <w:rsid w:val="00CF24D0"/>
    <w:rsid w:val="00D00723"/>
    <w:rsid w:val="00D03F66"/>
    <w:rsid w:val="00D04450"/>
    <w:rsid w:val="00D12386"/>
    <w:rsid w:val="00D15AB6"/>
    <w:rsid w:val="00D20038"/>
    <w:rsid w:val="00D2637B"/>
    <w:rsid w:val="00D60FC9"/>
    <w:rsid w:val="00D6293C"/>
    <w:rsid w:val="00D651EF"/>
    <w:rsid w:val="00D70232"/>
    <w:rsid w:val="00D719E6"/>
    <w:rsid w:val="00D75698"/>
    <w:rsid w:val="00D76783"/>
    <w:rsid w:val="00D80E14"/>
    <w:rsid w:val="00D81C8C"/>
    <w:rsid w:val="00D81D6D"/>
    <w:rsid w:val="00D8367A"/>
    <w:rsid w:val="00D94AD1"/>
    <w:rsid w:val="00DA05EA"/>
    <w:rsid w:val="00DA277A"/>
    <w:rsid w:val="00DB2C55"/>
    <w:rsid w:val="00DB35FD"/>
    <w:rsid w:val="00DB3DB1"/>
    <w:rsid w:val="00DB5C43"/>
    <w:rsid w:val="00DC45CD"/>
    <w:rsid w:val="00DD15FE"/>
    <w:rsid w:val="00DD1DD8"/>
    <w:rsid w:val="00DD518B"/>
    <w:rsid w:val="00DD7E16"/>
    <w:rsid w:val="00DE114B"/>
    <w:rsid w:val="00DE1A89"/>
    <w:rsid w:val="00DE2427"/>
    <w:rsid w:val="00DE3F3B"/>
    <w:rsid w:val="00DF09B1"/>
    <w:rsid w:val="00E029E3"/>
    <w:rsid w:val="00E1477D"/>
    <w:rsid w:val="00E26009"/>
    <w:rsid w:val="00E34DCF"/>
    <w:rsid w:val="00E431D4"/>
    <w:rsid w:val="00E52466"/>
    <w:rsid w:val="00E63E7E"/>
    <w:rsid w:val="00E71C91"/>
    <w:rsid w:val="00E76426"/>
    <w:rsid w:val="00E85EA0"/>
    <w:rsid w:val="00E87148"/>
    <w:rsid w:val="00EA0DB2"/>
    <w:rsid w:val="00EA4319"/>
    <w:rsid w:val="00EA5FCA"/>
    <w:rsid w:val="00EB1745"/>
    <w:rsid w:val="00EB2180"/>
    <w:rsid w:val="00EB2933"/>
    <w:rsid w:val="00EB4FA2"/>
    <w:rsid w:val="00EC30CE"/>
    <w:rsid w:val="00EC6CAE"/>
    <w:rsid w:val="00ED7E78"/>
    <w:rsid w:val="00EE1AF6"/>
    <w:rsid w:val="00EE3AEA"/>
    <w:rsid w:val="00EF0BAC"/>
    <w:rsid w:val="00EF23F7"/>
    <w:rsid w:val="00EF36BC"/>
    <w:rsid w:val="00EF56AE"/>
    <w:rsid w:val="00EF6F53"/>
    <w:rsid w:val="00F13F8A"/>
    <w:rsid w:val="00F15F64"/>
    <w:rsid w:val="00F1683B"/>
    <w:rsid w:val="00F1693B"/>
    <w:rsid w:val="00F17913"/>
    <w:rsid w:val="00F20002"/>
    <w:rsid w:val="00F21C77"/>
    <w:rsid w:val="00F232E1"/>
    <w:rsid w:val="00F26CAB"/>
    <w:rsid w:val="00F2722E"/>
    <w:rsid w:val="00F272A0"/>
    <w:rsid w:val="00F41532"/>
    <w:rsid w:val="00F50A38"/>
    <w:rsid w:val="00F551CF"/>
    <w:rsid w:val="00F61148"/>
    <w:rsid w:val="00F70A62"/>
    <w:rsid w:val="00F731FE"/>
    <w:rsid w:val="00F73DD0"/>
    <w:rsid w:val="00F843C6"/>
    <w:rsid w:val="00F850D2"/>
    <w:rsid w:val="00F87468"/>
    <w:rsid w:val="00F918DC"/>
    <w:rsid w:val="00FA7B7F"/>
    <w:rsid w:val="00FB3452"/>
    <w:rsid w:val="00FC3100"/>
    <w:rsid w:val="00FC573E"/>
    <w:rsid w:val="00FD01EE"/>
    <w:rsid w:val="00FD2EA7"/>
    <w:rsid w:val="00FE7C8E"/>
    <w:rsid w:val="00FF4BD0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CFE177E"/>
  <w15:chartTrackingRefBased/>
  <w15:docId w15:val="{EC44F1F4-D71F-4B65-BBBD-5ECBDEA6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color w:val="4A4C4C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65F"/>
  </w:style>
  <w:style w:type="paragraph" w:styleId="Heading1">
    <w:name w:val="heading 1"/>
    <w:basedOn w:val="Normal"/>
    <w:next w:val="Normal"/>
    <w:link w:val="Heading1Char"/>
    <w:uiPriority w:val="9"/>
    <w:qFormat/>
    <w:rsid w:val="002656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E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65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565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565F"/>
    <w:pPr>
      <w:ind w:left="720"/>
      <w:contextualSpacing/>
    </w:pPr>
    <w:rPr>
      <w:rFonts w:ascii="Verdana" w:hAnsi="Verdana" w:cstheme="minorBidi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0A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0A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0AC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A2B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5F6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2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77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C9F"/>
  </w:style>
  <w:style w:type="paragraph" w:styleId="Footer">
    <w:name w:val="footer"/>
    <w:basedOn w:val="Normal"/>
    <w:link w:val="FooterChar"/>
    <w:uiPriority w:val="99"/>
    <w:unhideWhenUsed/>
    <w:rsid w:val="00177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C9F"/>
  </w:style>
  <w:style w:type="character" w:customStyle="1" w:styleId="Heading2Char">
    <w:name w:val="Heading 2 Char"/>
    <w:basedOn w:val="DefaultParagraphFont"/>
    <w:link w:val="Heading2"/>
    <w:uiPriority w:val="9"/>
    <w:rsid w:val="00043E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ckland.ac.nz/en/about-us/about-the-university/equity-at-the-university/about-equity/what-is-equity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ink.springer.com/chapter/10.1007/978-3-319-59686-0_9" TargetMode="External"/><Relationship Id="rId12" Type="http://schemas.openxmlformats.org/officeDocument/2006/relationships/hyperlink" Target="https://www.auckland.ac.nz/en/about/the-university/how-university-works/policy-and-administration/human-resources1/recruitment--appointment-and-induction/professional-staff-recruitment--selection-and-appointment-proced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uckland.ac.nz/en/about/the-university/how-university-works/policy-and-administration/human-resources1/recruitment--appointment-and-induction/academic-staff-recruitment--selection-and-appointment-procedures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uckland.ac.nz/en/about/the-university/how-university-works/policy-and-administration/human-resources1/recruitment--appointment-and-induction/professional-staff-recruitment--selection-and-appointment-proce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uckland.ac.nz/en/about/the-university/how-university-works/policy-and-administration/human-resources1/recruitment--appointment-and-induction/academic-staff-recruitment--selection-and-appointment-procedures.html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service.govt.nz/assets/SSC-Site-Assets/Workforce-and-Talent-Management/Implementing-the-Gender-Pay-Principles-and-removing-gender-bias-in-recruitment-processes.pdf" TargetMode="External"/><Relationship Id="rId3" Type="http://schemas.openxmlformats.org/officeDocument/2006/relationships/hyperlink" Target="https://www.researchgate.net/publication/251329720_When_Performance_Trumps_Gender_Bias_Joint_Versus_Separate_Evaluation" TargetMode="External"/><Relationship Id="rId7" Type="http://schemas.openxmlformats.org/officeDocument/2006/relationships/hyperlink" Target="https://www.willistowerswatson.com/en-NZ/Insights/2017/09/Redefining-negotiation-a-social-process-in-which-we-can-all-excel" TargetMode="External"/><Relationship Id="rId2" Type="http://schemas.openxmlformats.org/officeDocument/2006/relationships/hyperlink" Target="https://hbr.org/2016/04/how-to-take-the-bias-out-of-interviews" TargetMode="External"/><Relationship Id="rId1" Type="http://schemas.openxmlformats.org/officeDocument/2006/relationships/hyperlink" Target="https://www.publicservice.govt.nz/assets/SSC-Site-Assets/Workforce-and-Talent-Management/Implementing-the-Gender-Pay-Principles-and-removing-gender-bias-in-recruitment-processes.pdf" TargetMode="External"/><Relationship Id="rId6" Type="http://schemas.openxmlformats.org/officeDocument/2006/relationships/hyperlink" Target="https://www.ncbi.nlm.nih.gov/pmc/articles/PMC2572075/" TargetMode="External"/><Relationship Id="rId5" Type="http://schemas.openxmlformats.org/officeDocument/2006/relationships/hyperlink" Target="https://www.researchgate.net/publication/324782644_Raising_Doubt_in_Letters_of_Recommendation_for_Academia_Gender_Differences_and_Their_Impact" TargetMode="External"/><Relationship Id="rId4" Type="http://schemas.openxmlformats.org/officeDocument/2006/relationships/hyperlink" Target="https://pubmed.ncbi.nlm.nih.gov/1988144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spec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Cathie Walsh</dc:creator>
  <cp:keywords/>
  <dc:description/>
  <cp:lastModifiedBy>Cathie Walsh</cp:lastModifiedBy>
  <cp:revision>11</cp:revision>
  <cp:lastPrinted>2020-09-28T00:09:00Z</cp:lastPrinted>
  <dcterms:created xsi:type="dcterms:W3CDTF">2020-09-27T21:09:00Z</dcterms:created>
  <dcterms:modified xsi:type="dcterms:W3CDTF">2021-08-26T04:00:00Z</dcterms:modified>
</cp:coreProperties>
</file>