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79A5" w14:textId="35E2C368" w:rsidR="00C07994" w:rsidRPr="00B07D5F" w:rsidRDefault="00C07994" w:rsidP="00B66A17">
      <w:pPr>
        <w:tabs>
          <w:tab w:val="left" w:pos="1164"/>
        </w:tabs>
        <w:rPr>
          <w:rFonts w:ascii="Arial" w:hAnsi="Arial" w:cs="Arial"/>
          <w:b/>
          <w:bCs/>
        </w:rPr>
      </w:pPr>
      <w:r w:rsidRPr="00B07D5F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CED5D0" wp14:editId="2531A9BB">
                <wp:simplePos x="0" y="0"/>
                <wp:positionH relativeFrom="column">
                  <wp:posOffset>194310</wp:posOffset>
                </wp:positionH>
                <wp:positionV relativeFrom="paragraph">
                  <wp:posOffset>146685</wp:posOffset>
                </wp:positionV>
                <wp:extent cx="1627505" cy="1581150"/>
                <wp:effectExtent l="0" t="0" r="0" b="0"/>
                <wp:wrapSquare wrapText="bothSides"/>
                <wp:docPr id="15640243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505" cy="1581150"/>
                          <a:chOff x="-2" y="0"/>
                          <a:chExt cx="1627507" cy="1581786"/>
                        </a:xfrm>
                      </wpg:grpSpPr>
                      <wps:wsp>
                        <wps:cNvPr id="1375229945" name="Oval 1"/>
                        <wps:cNvSpPr/>
                        <wps:spPr>
                          <a:xfrm>
                            <a:off x="0" y="0"/>
                            <a:ext cx="1627505" cy="1581785"/>
                          </a:xfrm>
                          <a:prstGeom prst="ellipse">
                            <a:avLst/>
                          </a:prstGeom>
                          <a:solidFill>
                            <a:srgbClr val="FFC5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D59CE6" w14:textId="77777777" w:rsidR="00C07994" w:rsidRPr="002B16AA" w:rsidRDefault="00C07994" w:rsidP="00C07994">
                              <w:pPr>
                                <w:jc w:val="center"/>
                                <w:rPr>
                                  <w:color w:val="004AAD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2958" name="Text Box 2"/>
                        <wps:cNvSpPr txBox="1"/>
                        <wps:spPr>
                          <a:xfrm>
                            <a:off x="-2" y="1"/>
                            <a:ext cx="1627506" cy="158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9C7F29" w14:textId="77777777" w:rsidR="00C07994" w:rsidRPr="00FF1BFA" w:rsidRDefault="00C07994" w:rsidP="00C07994">
                              <w:pPr>
                                <w:jc w:val="center"/>
                                <w:rPr>
                                  <w:color w:val="004AAD"/>
                                  <w:sz w:val="44"/>
                                  <w:szCs w:val="44"/>
                                </w:rPr>
                              </w:pPr>
                              <w:r w:rsidRPr="00FF1BFA">
                                <w:rPr>
                                  <w:rFonts w:ascii="Arial" w:hAnsi="Arial" w:cs="Arial"/>
                                  <w:b/>
                                  <w:bCs/>
                                  <w:color w:val="004AAD"/>
                                  <w:sz w:val="44"/>
                                  <w:szCs w:val="44"/>
                                </w:rPr>
                                <w:t>THE BRIGHT 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ED5D0" id="Group 3" o:spid="_x0000_s1026" style="position:absolute;margin-left:15.3pt;margin-top:11.55pt;width:128.15pt;height:124.5pt;z-index:251659264;mso-height-relative:margin" coordorigin="" coordsize="16275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">
                <v:oval id="Oval 1" o:spid="_x0000_s1027" style="position:absolute;width:16275;height:15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" fillcolor="#ffc50f" stroked="f" strokeweight="1pt">
                  <v:stroke joinstyle="miter"/>
                  <v:textbox>
                    <w:txbxContent>
                      <w:p w14:paraId="6ED59CE6" w14:textId="77777777" w:rsidR="00C07994" w:rsidRPr="002B16AA" w:rsidRDefault="00C07994" w:rsidP="00C07994">
                        <w:pPr>
                          <w:jc w:val="center"/>
                          <w:rPr>
                            <w:color w:val="004AAD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16275;height:15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" filled="f" stroked="f" strokeweight=".5pt">
                  <v:textbox>
                    <w:txbxContent>
                      <w:p w14:paraId="249C7F29" w14:textId="77777777" w:rsidR="00C07994" w:rsidRPr="00FF1BFA" w:rsidRDefault="00C07994" w:rsidP="00C07994">
                        <w:pPr>
                          <w:jc w:val="center"/>
                          <w:rPr>
                            <w:color w:val="004AAD"/>
                            <w:sz w:val="44"/>
                            <w:szCs w:val="44"/>
                          </w:rPr>
                        </w:pPr>
                        <w:r w:rsidRPr="00FF1BFA">
                          <w:rPr>
                            <w:rFonts w:ascii="Arial" w:hAnsi="Arial" w:cs="Arial"/>
                            <w:b/>
                            <w:bCs/>
                            <w:color w:val="004AAD"/>
                            <w:sz w:val="44"/>
                            <w:szCs w:val="44"/>
                          </w:rPr>
                          <w:t>THE BRIGHT STUDY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5566D82" w14:textId="7F63E687" w:rsidR="00C07994" w:rsidRPr="00B07D5F" w:rsidRDefault="00C07994" w:rsidP="00C07994">
      <w:pPr>
        <w:tabs>
          <w:tab w:val="left" w:pos="1164"/>
        </w:tabs>
        <w:ind w:left="3261"/>
        <w:rPr>
          <w:rFonts w:ascii="Arial" w:hAnsi="Arial" w:cs="Arial"/>
          <w:b/>
          <w:bCs/>
        </w:rPr>
      </w:pPr>
    </w:p>
    <w:p w14:paraId="0389CEDE" w14:textId="24DC2CAF" w:rsidR="00C07994" w:rsidRPr="00B07D5F" w:rsidRDefault="007A423C" w:rsidP="00B07D5F">
      <w:pPr>
        <w:pBdr>
          <w:bottom w:val="single" w:sz="6" w:space="1" w:color="auto"/>
        </w:pBdr>
        <w:tabs>
          <w:tab w:val="left" w:pos="1164"/>
        </w:tabs>
        <w:ind w:left="3544"/>
        <w:jc w:val="both"/>
        <w:rPr>
          <w:rFonts w:ascii="Arial" w:hAnsi="Arial" w:cs="Arial"/>
          <w:b/>
          <w:bCs/>
          <w:color w:val="004AAD"/>
        </w:rPr>
      </w:pPr>
      <w:r>
        <w:rPr>
          <w:rFonts w:ascii="Arial" w:hAnsi="Arial" w:cs="Arial"/>
          <w:b/>
          <w:bCs/>
          <w:color w:val="004AAD"/>
        </w:rPr>
        <w:t>The</w:t>
      </w:r>
      <w:r w:rsidR="00C07994" w:rsidRPr="00B07D5F">
        <w:rPr>
          <w:rFonts w:ascii="Arial" w:hAnsi="Arial" w:cs="Arial"/>
          <w:b/>
          <w:bCs/>
          <w:color w:val="004AAD"/>
        </w:rPr>
        <w:t xml:space="preserve"> </w:t>
      </w:r>
      <w:r w:rsidR="00C07994" w:rsidRPr="00B07D5F">
        <w:rPr>
          <w:rFonts w:ascii="Arial" w:hAnsi="Arial" w:cs="Arial"/>
          <w:b/>
          <w:bCs/>
          <w:color w:val="004AAD"/>
          <w:u w:val="single"/>
        </w:rPr>
        <w:t>B</w:t>
      </w:r>
      <w:r w:rsidR="00C07994" w:rsidRPr="00B07D5F">
        <w:rPr>
          <w:rFonts w:ascii="Arial" w:hAnsi="Arial" w:cs="Arial"/>
          <w:b/>
          <w:bCs/>
          <w:color w:val="004AAD"/>
        </w:rPr>
        <w:t xml:space="preserve">inocular Vision, </w:t>
      </w:r>
      <w:r w:rsidR="00C07994" w:rsidRPr="00B07D5F">
        <w:rPr>
          <w:rFonts w:ascii="Arial" w:hAnsi="Arial" w:cs="Arial"/>
          <w:b/>
          <w:bCs/>
          <w:color w:val="004AAD"/>
          <w:u w:val="single"/>
        </w:rPr>
        <w:t>R</w:t>
      </w:r>
      <w:r w:rsidR="00C07994" w:rsidRPr="00B07D5F">
        <w:rPr>
          <w:rFonts w:ascii="Arial" w:hAnsi="Arial" w:cs="Arial"/>
          <w:b/>
          <w:bCs/>
          <w:color w:val="004AAD"/>
        </w:rPr>
        <w:t>eading and Wr</w:t>
      </w:r>
      <w:r w:rsidR="00C07994" w:rsidRPr="00B07D5F">
        <w:rPr>
          <w:rFonts w:ascii="Arial" w:hAnsi="Arial" w:cs="Arial"/>
          <w:b/>
          <w:bCs/>
          <w:color w:val="004AAD"/>
          <w:u w:val="single"/>
        </w:rPr>
        <w:t>i</w:t>
      </w:r>
      <w:r w:rsidR="00C07994" w:rsidRPr="00B07D5F">
        <w:rPr>
          <w:rFonts w:ascii="Arial" w:hAnsi="Arial" w:cs="Arial"/>
          <w:b/>
          <w:bCs/>
          <w:color w:val="004AAD"/>
        </w:rPr>
        <w:t>tin</w:t>
      </w:r>
      <w:r w:rsidR="00C07994" w:rsidRPr="00B07D5F">
        <w:rPr>
          <w:rFonts w:ascii="Arial" w:hAnsi="Arial" w:cs="Arial"/>
          <w:b/>
          <w:bCs/>
          <w:color w:val="004AAD"/>
          <w:u w:val="single"/>
        </w:rPr>
        <w:t>g</w:t>
      </w:r>
      <w:r w:rsidR="00C07994" w:rsidRPr="00B07D5F">
        <w:rPr>
          <w:rFonts w:ascii="Arial" w:hAnsi="Arial" w:cs="Arial"/>
          <w:b/>
          <w:bCs/>
          <w:color w:val="004AAD"/>
        </w:rPr>
        <w:t xml:space="preserve"> Skills in Anisometropic Children with a </w:t>
      </w:r>
      <w:r w:rsidR="00C07994" w:rsidRPr="00B07D5F">
        <w:rPr>
          <w:rFonts w:ascii="Arial" w:hAnsi="Arial" w:cs="Arial"/>
          <w:b/>
          <w:bCs/>
          <w:color w:val="004AAD"/>
          <w:u w:val="single"/>
        </w:rPr>
        <w:t>H</w:t>
      </w:r>
      <w:r w:rsidR="00C07994" w:rsidRPr="00B07D5F">
        <w:rPr>
          <w:rFonts w:ascii="Arial" w:hAnsi="Arial" w:cs="Arial"/>
          <w:b/>
          <w:bCs/>
          <w:color w:val="004AAD"/>
        </w:rPr>
        <w:t xml:space="preserve">istory of Amblyopia </w:t>
      </w:r>
      <w:r w:rsidR="00C07994" w:rsidRPr="00B07D5F">
        <w:rPr>
          <w:rFonts w:ascii="Arial" w:hAnsi="Arial" w:cs="Arial"/>
          <w:b/>
          <w:bCs/>
          <w:color w:val="004AAD"/>
          <w:u w:val="single"/>
        </w:rPr>
        <w:t>T</w:t>
      </w:r>
      <w:r w:rsidR="00C07994" w:rsidRPr="00B07D5F">
        <w:rPr>
          <w:rFonts w:ascii="Arial" w:hAnsi="Arial" w:cs="Arial"/>
          <w:b/>
          <w:bCs/>
          <w:color w:val="004AAD"/>
        </w:rPr>
        <w:t>reatment</w:t>
      </w:r>
      <w:r>
        <w:rPr>
          <w:rFonts w:ascii="Arial" w:hAnsi="Arial" w:cs="Arial"/>
          <w:b/>
          <w:bCs/>
          <w:color w:val="004AAD"/>
        </w:rPr>
        <w:t xml:space="preserve"> study</w:t>
      </w:r>
    </w:p>
    <w:p w14:paraId="56E993CC" w14:textId="77777777" w:rsidR="00B07D5F" w:rsidRDefault="00B07D5F" w:rsidP="00C07994">
      <w:pPr>
        <w:tabs>
          <w:tab w:val="left" w:pos="1164"/>
        </w:tabs>
        <w:ind w:left="3261"/>
        <w:rPr>
          <w:rFonts w:ascii="Arial" w:hAnsi="Arial" w:cs="Arial"/>
        </w:rPr>
      </w:pPr>
    </w:p>
    <w:p w14:paraId="0E82C19C" w14:textId="629D9BCA" w:rsidR="00D53529" w:rsidRPr="00B07D5F" w:rsidRDefault="00D53529" w:rsidP="00C07994">
      <w:pPr>
        <w:tabs>
          <w:tab w:val="left" w:pos="1164"/>
        </w:tabs>
        <w:ind w:left="3261"/>
        <w:rPr>
          <w:rFonts w:ascii="Arial" w:hAnsi="Arial" w:cs="Arial"/>
        </w:rPr>
      </w:pPr>
    </w:p>
    <w:p w14:paraId="68101DB3" w14:textId="1E3BA5EE" w:rsidR="00C07994" w:rsidRPr="00B07D5F" w:rsidRDefault="00C07994" w:rsidP="00CD3B5F">
      <w:p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 xml:space="preserve">We are conducting a cross-sectional study to evaluate near and binocular visual functions, reading eye movements and eye-hand coordination skills in children who have previously completed treatment for anisometropic amblyopia. </w:t>
      </w:r>
    </w:p>
    <w:p w14:paraId="4D5037AA" w14:textId="77777777" w:rsidR="00C07994" w:rsidRPr="00B07D5F" w:rsidRDefault="00C07994" w:rsidP="00CD3B5F">
      <w:pPr>
        <w:tabs>
          <w:tab w:val="left" w:pos="1164"/>
        </w:tabs>
        <w:spacing w:line="240" w:lineRule="auto"/>
        <w:jc w:val="both"/>
        <w:rPr>
          <w:rFonts w:ascii="Arial" w:hAnsi="Arial" w:cs="Arial"/>
        </w:rPr>
      </w:pPr>
      <w:r w:rsidRPr="00B07D5F">
        <w:rPr>
          <w:rFonts w:ascii="Arial" w:hAnsi="Arial" w:cs="Arial"/>
        </w:rPr>
        <w:t>Eligibility criteria:</w:t>
      </w:r>
    </w:p>
    <w:p w14:paraId="19745438" w14:textId="74F22784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 xml:space="preserve">Age 7-12 years. </w:t>
      </w:r>
    </w:p>
    <w:p w14:paraId="1ECFAB8F" w14:textId="59167724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jc w:val="both"/>
        <w:rPr>
          <w:rFonts w:ascii="Arial" w:hAnsi="Arial" w:cs="Arial"/>
        </w:rPr>
      </w:pPr>
      <w:r w:rsidRPr="00B07D5F">
        <w:rPr>
          <w:rFonts w:ascii="Arial" w:hAnsi="Arial" w:cs="Arial"/>
        </w:rPr>
        <w:t>Previous diagnosis of anisometropic amblyopia and history of previous treatment (any type of treatment, including glasses, patching, atropine eye drops, and/or binocular treatments).</w:t>
      </w:r>
    </w:p>
    <w:p w14:paraId="1FF53DCE" w14:textId="77777777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>Anisometropia of ≥1.00D.</w:t>
      </w:r>
    </w:p>
    <w:p w14:paraId="1E50CBCC" w14:textId="77777777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>No strabismus (previous or current) or nystagmus.</w:t>
      </w:r>
    </w:p>
    <w:p w14:paraId="1CA72149" w14:textId="7BD3EA4B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>No previous eye surgeries.</w:t>
      </w:r>
    </w:p>
    <w:p w14:paraId="52B4AEA2" w14:textId="77777777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>No ocular pathologies affecting vision.</w:t>
      </w:r>
    </w:p>
    <w:p w14:paraId="789C50C5" w14:textId="2E5338D5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>No diagnosed dyslexia.</w:t>
      </w:r>
    </w:p>
    <w:p w14:paraId="1FD38031" w14:textId="5D1EAD42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 xml:space="preserve">No neurodevelopmental abnormalities. </w:t>
      </w:r>
    </w:p>
    <w:p w14:paraId="0FE99D90" w14:textId="2E0D0283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>No motor limitation of the dominant hand.</w:t>
      </w:r>
    </w:p>
    <w:p w14:paraId="104E54EA" w14:textId="0A568C9E" w:rsidR="00C07994" w:rsidRPr="00B07D5F" w:rsidRDefault="00C07994" w:rsidP="00CD3B5F">
      <w:pPr>
        <w:numPr>
          <w:ilvl w:val="0"/>
          <w:numId w:val="1"/>
        </w:numPr>
        <w:tabs>
          <w:tab w:val="left" w:pos="1164"/>
        </w:tabs>
        <w:spacing w:line="240" w:lineRule="auto"/>
        <w:rPr>
          <w:rFonts w:ascii="Arial" w:hAnsi="Arial" w:cs="Arial"/>
        </w:rPr>
      </w:pPr>
      <w:r w:rsidRPr="00B07D5F">
        <w:rPr>
          <w:rFonts w:ascii="Arial" w:hAnsi="Arial" w:cs="Arial"/>
        </w:rPr>
        <w:t>Able to attend up to three study visits at the School of Optometry and Vision Science, Grafton Campus.</w:t>
      </w:r>
    </w:p>
    <w:p w14:paraId="281C3FF2" w14:textId="6F3C4DF1" w:rsidR="00C07994" w:rsidRDefault="00C07994" w:rsidP="00CD3B5F">
      <w:pPr>
        <w:pStyle w:val="ListParagraph"/>
        <w:tabs>
          <w:tab w:val="left" w:pos="1164"/>
        </w:tabs>
        <w:spacing w:line="240" w:lineRule="auto"/>
        <w:ind w:left="0"/>
        <w:rPr>
          <w:rFonts w:ascii="Arial" w:hAnsi="Arial" w:cs="Arial"/>
        </w:rPr>
      </w:pPr>
      <w:r w:rsidRPr="00B07D5F">
        <w:rPr>
          <w:rFonts w:ascii="Arial" w:hAnsi="Arial" w:cs="Arial"/>
        </w:rPr>
        <w:t>We also need children 7-12 years old with normal vision and no history of amblyopia as age-matched controls.</w:t>
      </w:r>
      <w:r w:rsidR="00B374CF">
        <w:rPr>
          <w:rFonts w:ascii="Arial" w:hAnsi="Arial" w:cs="Arial"/>
        </w:rPr>
        <w:t xml:space="preserve"> </w:t>
      </w:r>
      <w:r w:rsidR="00B374CF" w:rsidRPr="00B07D5F">
        <w:rPr>
          <w:rFonts w:ascii="Arial" w:hAnsi="Arial" w:cs="Arial"/>
        </w:rPr>
        <w:t>A $40 MTA voucher per visit and a pair of children’s sunglasses will be provided as a token of appreciation for participants.</w:t>
      </w:r>
      <w:r w:rsidR="00B374CF">
        <w:rPr>
          <w:rFonts w:ascii="Arial" w:hAnsi="Arial" w:cs="Arial"/>
        </w:rPr>
        <w:t xml:space="preserve"> </w:t>
      </w:r>
    </w:p>
    <w:p w14:paraId="293B2E84" w14:textId="43B6817D" w:rsidR="007E7829" w:rsidRPr="00A92EA0" w:rsidRDefault="00B374CF" w:rsidP="00CD3B5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Separate to above, we</w:t>
      </w:r>
      <w:r w:rsidR="00113C50">
        <w:rPr>
          <w:rFonts w:ascii="Arial" w:hAnsi="Arial" w:cs="Arial"/>
        </w:rPr>
        <w:t xml:space="preserve"> are</w:t>
      </w:r>
      <w:r w:rsidR="00BE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seeking</w:t>
      </w:r>
      <w:r w:rsidR="00113C50">
        <w:rPr>
          <w:rFonts w:ascii="Arial" w:hAnsi="Arial" w:cs="Arial"/>
        </w:rPr>
        <w:t xml:space="preserve"> parents of children 7-12 years </w:t>
      </w:r>
      <w:r>
        <w:rPr>
          <w:rFonts w:ascii="Arial" w:hAnsi="Arial" w:cs="Arial"/>
        </w:rPr>
        <w:t>with previously treated</w:t>
      </w:r>
      <w:r w:rsidR="00113C50">
        <w:rPr>
          <w:rFonts w:ascii="Arial" w:hAnsi="Arial" w:cs="Arial"/>
        </w:rPr>
        <w:t xml:space="preserve"> amblyopia</w:t>
      </w:r>
      <w:r w:rsidR="00BE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complete a survey </w:t>
      </w:r>
      <w:r w:rsidR="00AF0923">
        <w:rPr>
          <w:rFonts w:ascii="Arial" w:hAnsi="Arial" w:cs="Arial"/>
        </w:rPr>
        <w:t xml:space="preserve">to assess children’s </w:t>
      </w:r>
      <w:r w:rsidR="00B7272B">
        <w:rPr>
          <w:rFonts w:ascii="Arial" w:hAnsi="Arial" w:cs="Arial"/>
        </w:rPr>
        <w:t xml:space="preserve">follow up </w:t>
      </w:r>
      <w:r w:rsidR="00AF0923">
        <w:rPr>
          <w:rFonts w:ascii="Arial" w:hAnsi="Arial" w:cs="Arial"/>
        </w:rPr>
        <w:t>e</w:t>
      </w:r>
      <w:r w:rsidR="00B7272B">
        <w:rPr>
          <w:rFonts w:ascii="Arial" w:hAnsi="Arial" w:cs="Arial"/>
        </w:rPr>
        <w:t xml:space="preserve">yecare after they completed amblyopia treatment. </w:t>
      </w:r>
    </w:p>
    <w:p w14:paraId="2D6A4B07" w14:textId="5CA9ECAE" w:rsidR="00C07994" w:rsidRPr="00A92EA0" w:rsidRDefault="00C07994" w:rsidP="00A92EA0">
      <w:pPr>
        <w:pStyle w:val="ListParagraph"/>
        <w:tabs>
          <w:tab w:val="left" w:pos="1164"/>
        </w:tabs>
        <w:ind w:left="0"/>
        <w:rPr>
          <w:rFonts w:ascii="Arial" w:hAnsi="Arial" w:cs="Arial"/>
          <w:b/>
          <w:bCs/>
        </w:rPr>
      </w:pPr>
      <w:r w:rsidRPr="00B07D5F">
        <w:rPr>
          <w:rFonts w:ascii="Arial" w:hAnsi="Arial" w:cs="Arial"/>
          <w:b/>
          <w:bCs/>
        </w:rPr>
        <w:t xml:space="preserve">We really appreciate your help in finding eligible children </w:t>
      </w:r>
      <w:r w:rsidR="00A92EA0">
        <w:rPr>
          <w:rFonts w:ascii="Arial" w:hAnsi="Arial" w:cs="Arial"/>
          <w:b/>
          <w:bCs/>
        </w:rPr>
        <w:t xml:space="preserve">and parents </w:t>
      </w:r>
      <w:r w:rsidRPr="00B07D5F">
        <w:rPr>
          <w:rFonts w:ascii="Arial" w:hAnsi="Arial" w:cs="Arial"/>
          <w:b/>
          <w:bCs/>
        </w:rPr>
        <w:t>for this study. Please contact us if you have any questions or if you would like to refer a patient.</w:t>
      </w:r>
    </w:p>
    <w:p w14:paraId="33B2DCE7" w14:textId="77777777" w:rsidR="0096621F" w:rsidRPr="00E13761" w:rsidRDefault="0096621F" w:rsidP="00A92EA0">
      <w:pPr>
        <w:tabs>
          <w:tab w:val="left" w:pos="1164"/>
        </w:tabs>
        <w:spacing w:after="0" w:line="240" w:lineRule="auto"/>
        <w:rPr>
          <w:rFonts w:ascii="Arial" w:hAnsi="Arial" w:cs="Arial"/>
          <w:b/>
          <w:bCs/>
        </w:rPr>
      </w:pPr>
      <w:r w:rsidRPr="00E13761">
        <w:rPr>
          <w:rFonts w:ascii="Arial" w:hAnsi="Arial" w:cs="Arial"/>
          <w:b/>
          <w:bCs/>
        </w:rPr>
        <w:t>Primary contact: Mr. Ketemaw Demilew (PhD student)</w:t>
      </w:r>
    </w:p>
    <w:p w14:paraId="6FD14E7A" w14:textId="77777777" w:rsidR="0096621F" w:rsidRPr="00E13761" w:rsidRDefault="0096621F" w:rsidP="00A92EA0">
      <w:pPr>
        <w:tabs>
          <w:tab w:val="left" w:pos="1164"/>
        </w:tabs>
        <w:spacing w:after="0" w:line="240" w:lineRule="auto"/>
        <w:rPr>
          <w:rFonts w:ascii="Arial" w:hAnsi="Arial" w:cs="Arial"/>
          <w:b/>
          <w:bCs/>
        </w:rPr>
      </w:pPr>
      <w:r w:rsidRPr="00E13761">
        <w:rPr>
          <w:rFonts w:ascii="Arial" w:hAnsi="Arial" w:cs="Arial"/>
          <w:b/>
          <w:bCs/>
        </w:rPr>
        <w:t>Study phone: 0273594878</w:t>
      </w:r>
    </w:p>
    <w:p w14:paraId="01CB2267" w14:textId="77777777" w:rsidR="0096621F" w:rsidRDefault="0096621F" w:rsidP="00A92EA0">
      <w:pPr>
        <w:tabs>
          <w:tab w:val="left" w:pos="1164"/>
        </w:tabs>
        <w:spacing w:after="0" w:line="240" w:lineRule="auto"/>
        <w:rPr>
          <w:rFonts w:ascii="Arial" w:hAnsi="Arial" w:cs="Arial"/>
        </w:rPr>
      </w:pPr>
      <w:r w:rsidRPr="00E13761">
        <w:rPr>
          <w:rFonts w:ascii="Arial" w:hAnsi="Arial" w:cs="Arial"/>
          <w:b/>
          <w:bCs/>
        </w:rPr>
        <w:t xml:space="preserve">Email: </w:t>
      </w:r>
      <w:hyperlink r:id="rId7" w:tgtFrame="_blank" w:history="1">
        <w:r w:rsidRPr="00E13761">
          <w:rPr>
            <w:rStyle w:val="Hyperlink"/>
            <w:rFonts w:ascii="Arial" w:hAnsi="Arial" w:cs="Arial"/>
            <w:b/>
            <w:bCs/>
          </w:rPr>
          <w:t>Ketemaw.demilew@auckland.ac.nz</w:t>
        </w:r>
      </w:hyperlink>
    </w:p>
    <w:p w14:paraId="6166FF37" w14:textId="77777777" w:rsidR="0096621F" w:rsidRDefault="0096621F" w:rsidP="00A92EA0">
      <w:pPr>
        <w:tabs>
          <w:tab w:val="left" w:pos="1164"/>
        </w:tabs>
        <w:spacing w:after="0" w:line="240" w:lineRule="auto"/>
        <w:rPr>
          <w:rFonts w:ascii="Arial" w:hAnsi="Arial" w:cs="Arial"/>
        </w:rPr>
      </w:pPr>
    </w:p>
    <w:p w14:paraId="4759D173" w14:textId="77777777" w:rsidR="0096621F" w:rsidRPr="00E13761" w:rsidRDefault="0096621F" w:rsidP="00A92EA0">
      <w:pPr>
        <w:tabs>
          <w:tab w:val="left" w:pos="1164"/>
        </w:tabs>
        <w:spacing w:after="0" w:line="240" w:lineRule="auto"/>
        <w:rPr>
          <w:rFonts w:ascii="Arial" w:hAnsi="Arial" w:cs="Arial"/>
          <w:b/>
          <w:bCs/>
        </w:rPr>
      </w:pPr>
      <w:r w:rsidRPr="00E13761">
        <w:rPr>
          <w:rFonts w:ascii="Arial" w:hAnsi="Arial" w:cs="Arial"/>
          <w:b/>
          <w:bCs/>
        </w:rPr>
        <w:t>Lead researcher: Dr Tina Gao</w:t>
      </w:r>
    </w:p>
    <w:p w14:paraId="5BC4F4E7" w14:textId="77777777" w:rsidR="0096621F" w:rsidRDefault="0096621F" w:rsidP="00A92EA0">
      <w:pPr>
        <w:spacing w:after="0" w:line="240" w:lineRule="auto"/>
        <w:rPr>
          <w:rFonts w:ascii="Arial" w:hAnsi="Arial" w:cs="Arial"/>
          <w:b/>
          <w:bCs/>
        </w:rPr>
      </w:pPr>
      <w:r w:rsidRPr="00B07D5F">
        <w:rPr>
          <w:rFonts w:ascii="Arial" w:hAnsi="Arial" w:cs="Arial"/>
          <w:b/>
          <w:bCs/>
        </w:rPr>
        <w:t>Phone: 09 3737599 Ext.82955</w:t>
      </w:r>
    </w:p>
    <w:p w14:paraId="2DF430BD" w14:textId="77777777" w:rsidR="0096621F" w:rsidRPr="00E13761" w:rsidRDefault="0096621F" w:rsidP="00A92EA0">
      <w:pPr>
        <w:tabs>
          <w:tab w:val="left" w:pos="1164"/>
        </w:tabs>
        <w:spacing w:after="0" w:line="240" w:lineRule="auto"/>
        <w:rPr>
          <w:rFonts w:ascii="Arial" w:hAnsi="Arial" w:cs="Arial"/>
          <w:b/>
          <w:bCs/>
        </w:rPr>
      </w:pPr>
      <w:r w:rsidRPr="00B07D5F"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  <w:b/>
          <w:bCs/>
        </w:rPr>
        <w:t xml:space="preserve"> </w:t>
      </w:r>
      <w:hyperlink r:id="rId8" w:history="1">
        <w:r w:rsidRPr="009E0935">
          <w:rPr>
            <w:rStyle w:val="Hyperlink"/>
            <w:rFonts w:ascii="Arial" w:hAnsi="Arial" w:cs="Arial"/>
            <w:b/>
            <w:bCs/>
          </w:rPr>
          <w:t>t.gao@auckland.ac.nz</w:t>
        </w:r>
      </w:hyperlink>
    </w:p>
    <w:p w14:paraId="7EEE171D" w14:textId="295A4FCB" w:rsidR="00222474" w:rsidRPr="0096621F" w:rsidRDefault="00222474" w:rsidP="0096621F">
      <w:pPr>
        <w:tabs>
          <w:tab w:val="left" w:pos="1164"/>
        </w:tabs>
        <w:rPr>
          <w:rFonts w:ascii="Arial" w:hAnsi="Arial" w:cs="Arial"/>
        </w:rPr>
      </w:pPr>
    </w:p>
    <w:sectPr w:rsidR="00222474" w:rsidRPr="0096621F" w:rsidSect="00C0799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D0EA" w14:textId="77777777" w:rsidR="003E35AE" w:rsidRDefault="003E35AE" w:rsidP="00F201FD">
      <w:pPr>
        <w:spacing w:after="0" w:line="240" w:lineRule="auto"/>
      </w:pPr>
      <w:r>
        <w:separator/>
      </w:r>
    </w:p>
  </w:endnote>
  <w:endnote w:type="continuationSeparator" w:id="0">
    <w:p w14:paraId="661C517B" w14:textId="77777777" w:rsidR="003E35AE" w:rsidRDefault="003E35AE" w:rsidP="00F2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6A26" w14:textId="77777777" w:rsidR="007E7829" w:rsidRPr="00FD2360" w:rsidRDefault="007E7829" w:rsidP="007E7829">
    <w:pPr>
      <w:pStyle w:val="Footer"/>
      <w:rPr>
        <w:rFonts w:ascii="Arial" w:hAnsi="Arial" w:cs="Arial"/>
        <w:sz w:val="14"/>
        <w:szCs w:val="14"/>
      </w:rPr>
    </w:pPr>
    <w:r w:rsidRPr="00B07D5F">
      <w:rPr>
        <w:rFonts w:ascii="Arial" w:hAnsi="Arial" w:cs="Arial"/>
        <w:b/>
        <w:bCs/>
      </w:rPr>
      <w:br/>
    </w:r>
    <w:r w:rsidRPr="00FD2360">
      <w:rPr>
        <w:rFonts w:ascii="Arial" w:hAnsi="Arial" w:cs="Arial"/>
        <w:sz w:val="14"/>
        <w:szCs w:val="14"/>
      </w:rPr>
      <w:t>APPROVED BY THE NORTHERN A HEALTH AND DISABILITY ETHICS COMMITTEE ON 03 SEPTEMBER 2025. REFERENCE NUMBER 2025 FULL 22231.</w:t>
    </w:r>
  </w:p>
  <w:p w14:paraId="7626EE4A" w14:textId="77777777" w:rsidR="007E7829" w:rsidRDefault="007E7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BE42" w14:textId="77777777" w:rsidR="003E35AE" w:rsidRDefault="003E35AE" w:rsidP="00F201FD">
      <w:pPr>
        <w:spacing w:after="0" w:line="240" w:lineRule="auto"/>
      </w:pPr>
      <w:r>
        <w:separator/>
      </w:r>
    </w:p>
  </w:footnote>
  <w:footnote w:type="continuationSeparator" w:id="0">
    <w:p w14:paraId="0C406387" w14:textId="77777777" w:rsidR="003E35AE" w:rsidRDefault="003E35AE" w:rsidP="00F20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2806"/>
    <w:multiLevelType w:val="multilevel"/>
    <w:tmpl w:val="66E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49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94"/>
    <w:rsid w:val="000B32D1"/>
    <w:rsid w:val="000B5DBB"/>
    <w:rsid w:val="000C4CC0"/>
    <w:rsid w:val="00113C50"/>
    <w:rsid w:val="001D26EC"/>
    <w:rsid w:val="00212135"/>
    <w:rsid w:val="00222474"/>
    <w:rsid w:val="00271703"/>
    <w:rsid w:val="00292EAC"/>
    <w:rsid w:val="00352DF7"/>
    <w:rsid w:val="00380A4C"/>
    <w:rsid w:val="003E35AE"/>
    <w:rsid w:val="003E686C"/>
    <w:rsid w:val="00405675"/>
    <w:rsid w:val="00435AE1"/>
    <w:rsid w:val="00445603"/>
    <w:rsid w:val="00470C3A"/>
    <w:rsid w:val="004A1206"/>
    <w:rsid w:val="005550A9"/>
    <w:rsid w:val="00596006"/>
    <w:rsid w:val="006305E9"/>
    <w:rsid w:val="006547AB"/>
    <w:rsid w:val="006550A9"/>
    <w:rsid w:val="00697254"/>
    <w:rsid w:val="006C01D5"/>
    <w:rsid w:val="006F4F4B"/>
    <w:rsid w:val="00700342"/>
    <w:rsid w:val="00723415"/>
    <w:rsid w:val="007529E3"/>
    <w:rsid w:val="007A423C"/>
    <w:rsid w:val="007E7829"/>
    <w:rsid w:val="0085645B"/>
    <w:rsid w:val="009478DE"/>
    <w:rsid w:val="0096621F"/>
    <w:rsid w:val="009D360C"/>
    <w:rsid w:val="009F5176"/>
    <w:rsid w:val="00A06B27"/>
    <w:rsid w:val="00A30538"/>
    <w:rsid w:val="00A92EA0"/>
    <w:rsid w:val="00AC0387"/>
    <w:rsid w:val="00AF0923"/>
    <w:rsid w:val="00B07D5F"/>
    <w:rsid w:val="00B33753"/>
    <w:rsid w:val="00B374CF"/>
    <w:rsid w:val="00B66A17"/>
    <w:rsid w:val="00B7272B"/>
    <w:rsid w:val="00BE3193"/>
    <w:rsid w:val="00C07994"/>
    <w:rsid w:val="00C11B94"/>
    <w:rsid w:val="00C6349B"/>
    <w:rsid w:val="00CD3B5F"/>
    <w:rsid w:val="00D06423"/>
    <w:rsid w:val="00D53529"/>
    <w:rsid w:val="00D6632D"/>
    <w:rsid w:val="00D67705"/>
    <w:rsid w:val="00D94C4D"/>
    <w:rsid w:val="00E13761"/>
    <w:rsid w:val="00E22DC3"/>
    <w:rsid w:val="00EF1153"/>
    <w:rsid w:val="00F201FD"/>
    <w:rsid w:val="00F37028"/>
    <w:rsid w:val="00F63BF9"/>
    <w:rsid w:val="00F7032A"/>
    <w:rsid w:val="00F855F6"/>
    <w:rsid w:val="00FA043E"/>
    <w:rsid w:val="00FD2360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5D9EA"/>
  <w15:chartTrackingRefBased/>
  <w15:docId w15:val="{3D7E529D-12F5-437A-875D-02AF70BD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994"/>
  </w:style>
  <w:style w:type="paragraph" w:styleId="Heading1">
    <w:name w:val="heading 1"/>
    <w:basedOn w:val="Normal"/>
    <w:next w:val="Normal"/>
    <w:link w:val="Heading1Char"/>
    <w:uiPriority w:val="9"/>
    <w:qFormat/>
    <w:rsid w:val="00C07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99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FD"/>
  </w:style>
  <w:style w:type="paragraph" w:styleId="Footer">
    <w:name w:val="footer"/>
    <w:basedOn w:val="Normal"/>
    <w:link w:val="FooterChar"/>
    <w:uiPriority w:val="99"/>
    <w:unhideWhenUsed/>
    <w:rsid w:val="00F20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FD"/>
  </w:style>
  <w:style w:type="character" w:styleId="UnresolvedMention">
    <w:name w:val="Unresolved Mention"/>
    <w:basedOn w:val="DefaultParagraphFont"/>
    <w:uiPriority w:val="99"/>
    <w:semiHidden/>
    <w:unhideWhenUsed/>
    <w:rsid w:val="00E1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gao@auckland.ac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temaw.demilew@auckland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249</Words>
  <Characters>1482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Ketemaw Demilew</dc:creator>
  <cp:keywords/>
  <dc:description/>
  <cp:lastModifiedBy>Tina Gao</cp:lastModifiedBy>
  <cp:revision>49</cp:revision>
  <cp:lastPrinted>2026-01-14T00:45:00Z</cp:lastPrinted>
  <dcterms:created xsi:type="dcterms:W3CDTF">2025-12-01T02:24:00Z</dcterms:created>
  <dcterms:modified xsi:type="dcterms:W3CDTF">2026-01-19T21:14:00Z</dcterms:modified>
</cp:coreProperties>
</file>