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AFFDD" w14:textId="77777777" w:rsidR="00666E31" w:rsidRPr="00B00174" w:rsidRDefault="00666E31" w:rsidP="00A661A5">
      <w:pPr>
        <w:pStyle w:val="Heading2"/>
        <w:spacing w:before="0" w:line="276" w:lineRule="auto"/>
        <w:rPr>
          <w:rFonts w:ascii="Book Antiqua" w:hAnsi="Book Antiqua" w:cstheme="majorHAnsi"/>
          <w:lang w:val="en-NZ"/>
        </w:rPr>
      </w:pPr>
      <w:bookmarkStart w:id="0" w:name="_Ref482568200"/>
      <w:bookmarkStart w:id="1" w:name="_GoBack"/>
      <w:bookmarkEnd w:id="1"/>
    </w:p>
    <w:bookmarkEnd w:id="0"/>
    <w:p w14:paraId="3DD66B3F" w14:textId="77777777" w:rsidR="008966C6" w:rsidRPr="00B00174" w:rsidRDefault="008966C6" w:rsidP="00A661A5">
      <w:pPr>
        <w:spacing w:line="276" w:lineRule="auto"/>
        <w:rPr>
          <w:rFonts w:ascii="Book Antiqua" w:hAnsi="Book Antiqua" w:cstheme="majorHAnsi"/>
          <w:szCs w:val="24"/>
        </w:rPr>
      </w:pPr>
    </w:p>
    <w:p w14:paraId="65DD1EF0" w14:textId="1BB6B363" w:rsidR="008966C6" w:rsidRPr="00B00174" w:rsidRDefault="008966C6" w:rsidP="00A661A5">
      <w:pPr>
        <w:tabs>
          <w:tab w:val="left" w:pos="8789"/>
        </w:tabs>
        <w:spacing w:line="276" w:lineRule="auto"/>
        <w:rPr>
          <w:rFonts w:ascii="Book Antiqua" w:hAnsi="Book Antiqua" w:cstheme="majorHAnsi"/>
          <w:szCs w:val="24"/>
        </w:rPr>
      </w:pPr>
      <w:r w:rsidRPr="00B00174">
        <w:rPr>
          <w:rFonts w:ascii="Book Antiqua" w:hAnsi="Book Antiqua" w:cstheme="majorHAnsi"/>
          <w:szCs w:val="24"/>
        </w:rPr>
        <w:t>ISSN 2463-6282</w:t>
      </w:r>
      <w:r w:rsidR="008223FE" w:rsidRPr="00B00174">
        <w:rPr>
          <w:rFonts w:ascii="Book Antiqua" w:hAnsi="Book Antiqua" w:cstheme="majorHAnsi"/>
          <w:szCs w:val="24"/>
        </w:rPr>
        <w:tab/>
      </w:r>
      <w:r w:rsidR="004010AF">
        <w:rPr>
          <w:rFonts w:ascii="Book Antiqua" w:hAnsi="Book Antiqua" w:cstheme="majorHAnsi"/>
          <w:szCs w:val="24"/>
        </w:rPr>
        <w:t>June</w:t>
      </w:r>
      <w:r w:rsidR="003D763D">
        <w:rPr>
          <w:rFonts w:ascii="Book Antiqua" w:hAnsi="Book Antiqua" w:cstheme="majorHAnsi"/>
          <w:szCs w:val="24"/>
        </w:rPr>
        <w:t xml:space="preserve"> 2018</w:t>
      </w:r>
    </w:p>
    <w:p w14:paraId="6EF8BFDE" w14:textId="77777777" w:rsidR="008966C6" w:rsidRPr="00B00174" w:rsidRDefault="008966C6" w:rsidP="00A661A5">
      <w:pPr>
        <w:spacing w:line="276" w:lineRule="auto"/>
        <w:rPr>
          <w:rFonts w:ascii="Book Antiqua" w:hAnsi="Book Antiqua" w:cstheme="majorHAnsi"/>
          <w:szCs w:val="24"/>
        </w:rPr>
      </w:pPr>
    </w:p>
    <w:p w14:paraId="57E589F4" w14:textId="77777777" w:rsidR="008966C6" w:rsidRPr="00A07A1E" w:rsidRDefault="008966C6" w:rsidP="00A661A5">
      <w:pPr>
        <w:spacing w:line="276" w:lineRule="auto"/>
        <w:jc w:val="center"/>
        <w:rPr>
          <w:rFonts w:ascii="Book Antiqua" w:hAnsi="Book Antiqua" w:cstheme="majorHAnsi"/>
          <w:b/>
          <w:sz w:val="36"/>
          <w:szCs w:val="32"/>
        </w:rPr>
      </w:pPr>
      <w:r w:rsidRPr="00A07A1E">
        <w:rPr>
          <w:rFonts w:ascii="Book Antiqua" w:hAnsi="Book Antiqua" w:cstheme="majorHAnsi"/>
          <w:b/>
          <w:sz w:val="36"/>
          <w:szCs w:val="32"/>
        </w:rPr>
        <w:t>New Zealand Centre for Human Rights Law, Policy &amp; Practice</w:t>
      </w:r>
    </w:p>
    <w:p w14:paraId="1BEA3B78" w14:textId="77777777" w:rsidR="008966C6" w:rsidRPr="00A07A1E" w:rsidRDefault="008966C6" w:rsidP="00A661A5">
      <w:pPr>
        <w:spacing w:line="276" w:lineRule="auto"/>
        <w:jc w:val="center"/>
        <w:rPr>
          <w:rFonts w:ascii="Book Antiqua" w:hAnsi="Book Antiqua" w:cstheme="majorHAnsi"/>
          <w:b/>
          <w:sz w:val="32"/>
          <w:szCs w:val="28"/>
        </w:rPr>
      </w:pPr>
      <w:r w:rsidRPr="00A07A1E">
        <w:rPr>
          <w:rFonts w:ascii="Book Antiqua" w:hAnsi="Book Antiqua" w:cstheme="majorHAnsi"/>
          <w:b/>
          <w:sz w:val="32"/>
          <w:szCs w:val="28"/>
        </w:rPr>
        <w:t>Auckland Law School</w:t>
      </w:r>
    </w:p>
    <w:p w14:paraId="03F83EAB" w14:textId="77777777" w:rsidR="008966C6" w:rsidRPr="00A07A1E" w:rsidRDefault="008966C6" w:rsidP="00A661A5">
      <w:pPr>
        <w:spacing w:line="276" w:lineRule="auto"/>
        <w:jc w:val="center"/>
        <w:rPr>
          <w:rFonts w:ascii="Book Antiqua" w:hAnsi="Book Antiqua" w:cstheme="majorHAnsi"/>
          <w:b/>
          <w:sz w:val="32"/>
          <w:szCs w:val="28"/>
        </w:rPr>
      </w:pPr>
      <w:r w:rsidRPr="00A07A1E">
        <w:rPr>
          <w:rFonts w:ascii="Book Antiqua" w:hAnsi="Book Antiqua" w:cstheme="majorHAnsi"/>
          <w:b/>
          <w:sz w:val="32"/>
          <w:szCs w:val="28"/>
        </w:rPr>
        <w:t>University of Auckland</w:t>
      </w:r>
    </w:p>
    <w:p w14:paraId="6588D1F4" w14:textId="77777777" w:rsidR="00BE7C09" w:rsidRPr="00B00174" w:rsidRDefault="00BE7C09" w:rsidP="00A661A5">
      <w:pPr>
        <w:pStyle w:val="Heading2"/>
        <w:spacing w:before="0" w:line="276" w:lineRule="auto"/>
        <w:rPr>
          <w:rFonts w:ascii="Book Antiqua" w:hAnsi="Book Antiqua" w:cstheme="majorHAnsi"/>
          <w:lang w:val="en-NZ"/>
        </w:rPr>
      </w:pPr>
    </w:p>
    <w:sdt>
      <w:sdtPr>
        <w:rPr>
          <w:rFonts w:ascii="Times" w:eastAsia="Times" w:hAnsi="Times" w:cs="Times New Roman"/>
          <w:color w:val="auto"/>
          <w:sz w:val="24"/>
          <w:szCs w:val="20"/>
          <w:lang w:val="en-GB"/>
        </w:rPr>
        <w:id w:val="-1428418175"/>
        <w:docPartObj>
          <w:docPartGallery w:val="Table of Contents"/>
          <w:docPartUnique/>
        </w:docPartObj>
      </w:sdtPr>
      <w:sdtEndPr>
        <w:rPr>
          <w:b/>
          <w:bCs/>
          <w:noProof/>
        </w:rPr>
      </w:sdtEndPr>
      <w:sdtContent>
        <w:p w14:paraId="4CEB6172" w14:textId="77777777" w:rsidR="006523B5" w:rsidRDefault="006523B5" w:rsidP="00A661A5">
          <w:pPr>
            <w:pStyle w:val="TOCHeading"/>
            <w:spacing w:line="276" w:lineRule="auto"/>
          </w:pPr>
        </w:p>
        <w:p w14:paraId="7D062A27" w14:textId="0C4CEB15" w:rsidR="008945A4" w:rsidRDefault="00DB5F9D" w:rsidP="00A661A5">
          <w:pPr>
            <w:pStyle w:val="TOC1"/>
            <w:tabs>
              <w:tab w:val="right" w:leader="dot" w:pos="10456"/>
            </w:tabs>
            <w:spacing w:line="276" w:lineRule="auto"/>
            <w:rPr>
              <w:rFonts w:asciiTheme="minorHAnsi" w:eastAsiaTheme="minorEastAsia" w:hAnsiTheme="minorHAnsi" w:cstheme="minorBidi"/>
              <w:noProof/>
              <w:szCs w:val="22"/>
              <w:lang w:val="en-NZ" w:eastAsia="en-NZ"/>
            </w:rPr>
          </w:pPr>
          <w:r>
            <w:fldChar w:fldCharType="begin"/>
          </w:r>
          <w:r>
            <w:instrText xml:space="preserve"> TOC \o "1-1" \h \z \u </w:instrText>
          </w:r>
          <w:r>
            <w:fldChar w:fldCharType="separate"/>
          </w:r>
          <w:hyperlink w:anchor="_Toc492298410" w:history="1">
            <w:r w:rsidR="008945A4" w:rsidRPr="00AF66BA">
              <w:rPr>
                <w:rStyle w:val="Hyperlink"/>
                <w:rFonts w:ascii="Book Antiqua" w:hAnsi="Book Antiqua"/>
                <w:noProof/>
                <w:lang w:eastAsia="en-NZ"/>
              </w:rPr>
              <w:t>National update:  policy and legislation</w:t>
            </w:r>
            <w:r w:rsidR="008945A4">
              <w:rPr>
                <w:noProof/>
                <w:webHidden/>
              </w:rPr>
              <w:tab/>
            </w:r>
            <w:r w:rsidR="007700E3">
              <w:rPr>
                <w:noProof/>
                <w:webHidden/>
              </w:rPr>
              <w:t>4</w:t>
            </w:r>
          </w:hyperlink>
        </w:p>
        <w:p w14:paraId="708C0EE7" w14:textId="55029C33" w:rsidR="008945A4" w:rsidRDefault="00DE2C1D" w:rsidP="00A661A5">
          <w:pPr>
            <w:pStyle w:val="TOC1"/>
            <w:tabs>
              <w:tab w:val="right" w:leader="dot" w:pos="10456"/>
            </w:tabs>
            <w:spacing w:line="276" w:lineRule="auto"/>
            <w:rPr>
              <w:rFonts w:asciiTheme="minorHAnsi" w:eastAsiaTheme="minorEastAsia" w:hAnsiTheme="minorHAnsi" w:cstheme="minorBidi"/>
              <w:noProof/>
              <w:szCs w:val="22"/>
              <w:lang w:val="en-NZ" w:eastAsia="en-NZ"/>
            </w:rPr>
          </w:pPr>
          <w:hyperlink w:anchor="_Toc492298411" w:history="1">
            <w:r w:rsidR="008945A4" w:rsidRPr="00AF66BA">
              <w:rPr>
                <w:rStyle w:val="Hyperlink"/>
                <w:rFonts w:ascii="Book Antiqua" w:hAnsi="Book Antiqua"/>
                <w:noProof/>
              </w:rPr>
              <w:t>International update</w:t>
            </w:r>
            <w:r w:rsidR="008945A4">
              <w:rPr>
                <w:noProof/>
                <w:webHidden/>
              </w:rPr>
              <w:tab/>
            </w:r>
            <w:r w:rsidR="007700E3">
              <w:rPr>
                <w:noProof/>
                <w:webHidden/>
              </w:rPr>
              <w:t>6</w:t>
            </w:r>
          </w:hyperlink>
        </w:p>
        <w:p w14:paraId="4824B41F" w14:textId="64893028" w:rsidR="008945A4" w:rsidRDefault="00DE2C1D" w:rsidP="00A661A5">
          <w:pPr>
            <w:pStyle w:val="TOC1"/>
            <w:tabs>
              <w:tab w:val="right" w:leader="dot" w:pos="10456"/>
            </w:tabs>
            <w:spacing w:line="276" w:lineRule="auto"/>
            <w:rPr>
              <w:rFonts w:asciiTheme="minorHAnsi" w:eastAsiaTheme="minorEastAsia" w:hAnsiTheme="minorHAnsi" w:cstheme="minorBidi"/>
              <w:noProof/>
              <w:szCs w:val="22"/>
              <w:lang w:val="en-NZ" w:eastAsia="en-NZ"/>
            </w:rPr>
          </w:pPr>
          <w:hyperlink w:anchor="_Toc492298412" w:history="1">
            <w:r w:rsidR="008945A4" w:rsidRPr="00AF66BA">
              <w:rPr>
                <w:rStyle w:val="Hyperlink"/>
                <w:rFonts w:ascii="Book Antiqua" w:hAnsi="Book Antiqua"/>
                <w:noProof/>
              </w:rPr>
              <w:t>Recent cases</w:t>
            </w:r>
            <w:r w:rsidR="008945A4">
              <w:rPr>
                <w:noProof/>
                <w:webHidden/>
              </w:rPr>
              <w:tab/>
            </w:r>
            <w:r w:rsidR="007700E3">
              <w:rPr>
                <w:noProof/>
                <w:webHidden/>
              </w:rPr>
              <w:t>7</w:t>
            </w:r>
          </w:hyperlink>
        </w:p>
        <w:p w14:paraId="431EDB02" w14:textId="77777777" w:rsidR="006523B5" w:rsidRDefault="00DB5F9D" w:rsidP="00A661A5">
          <w:pPr>
            <w:spacing w:line="276" w:lineRule="auto"/>
          </w:pPr>
          <w:r>
            <w:rPr>
              <w:sz w:val="22"/>
            </w:rPr>
            <w:fldChar w:fldCharType="end"/>
          </w:r>
        </w:p>
      </w:sdtContent>
    </w:sdt>
    <w:p w14:paraId="11C4BC16" w14:textId="77777777" w:rsidR="004D1C83" w:rsidRDefault="00BC1136" w:rsidP="00A661A5">
      <w:pPr>
        <w:tabs>
          <w:tab w:val="left" w:pos="5103"/>
        </w:tabs>
        <w:spacing w:line="276" w:lineRule="auto"/>
        <w:rPr>
          <w:rFonts w:ascii="Book Antiqua" w:hAnsi="Book Antiqua" w:cstheme="majorHAnsi"/>
          <w:lang w:val="en-NZ"/>
        </w:rPr>
      </w:pPr>
      <w:r w:rsidRPr="00B00174">
        <w:rPr>
          <w:rFonts w:ascii="Book Antiqua" w:hAnsi="Book Antiqua" w:cstheme="majorHAnsi"/>
          <w:lang w:val="en-NZ"/>
        </w:rPr>
        <w:tab/>
      </w:r>
      <w:r w:rsidR="00973EFB" w:rsidRPr="00B00174">
        <w:rPr>
          <w:rFonts w:ascii="Book Antiqua" w:hAnsi="Book Antiqua" w:cstheme="majorHAnsi"/>
          <w:lang w:val="en-NZ"/>
        </w:rPr>
        <w:t xml:space="preserve"> </w:t>
      </w:r>
    </w:p>
    <w:p w14:paraId="38EA2063" w14:textId="77777777" w:rsidR="00B04082" w:rsidRPr="00B04082" w:rsidRDefault="00251D0D" w:rsidP="00B04082">
      <w:pPr>
        <w:rPr>
          <w:rStyle w:val="Heading1Char"/>
          <w:rFonts w:ascii="Book Antiqua" w:hAnsi="Book Antiqua"/>
          <w:szCs w:val="28"/>
        </w:rPr>
      </w:pPr>
      <w:r w:rsidRPr="00036A8F">
        <w:rPr>
          <w:rStyle w:val="Heading1Char"/>
          <w:rFonts w:ascii="Book Antiqua" w:hAnsi="Book Antiqua"/>
          <w:szCs w:val="28"/>
        </w:rPr>
        <w:fldChar w:fldCharType="begin"/>
      </w:r>
      <w:r w:rsidR="00AB6D7D" w:rsidRPr="007F6512">
        <w:rPr>
          <w:rStyle w:val="Heading1Char"/>
          <w:rFonts w:ascii="Book Antiqua" w:hAnsi="Book Antiqua"/>
          <w:szCs w:val="28"/>
        </w:rPr>
        <w:instrText xml:space="preserve"> REF _Ref482571202 \h  \* MERGEFORMAT </w:instrText>
      </w:r>
      <w:r w:rsidRPr="00036A8F">
        <w:rPr>
          <w:rStyle w:val="Heading1Char"/>
          <w:rFonts w:ascii="Book Antiqua" w:hAnsi="Book Antiqua"/>
          <w:szCs w:val="28"/>
        </w:rPr>
      </w:r>
      <w:r w:rsidRPr="00036A8F">
        <w:rPr>
          <w:rStyle w:val="Heading1Char"/>
          <w:rFonts w:ascii="Book Antiqua" w:hAnsi="Book Antiqua"/>
          <w:szCs w:val="28"/>
        </w:rPr>
        <w:fldChar w:fldCharType="separate"/>
      </w:r>
    </w:p>
    <w:p w14:paraId="49702535" w14:textId="7A371D0A" w:rsidR="00AB6D7D" w:rsidRPr="00036A8F" w:rsidRDefault="00B04082" w:rsidP="00A661A5">
      <w:pPr>
        <w:spacing w:line="276" w:lineRule="auto"/>
        <w:jc w:val="center"/>
        <w:rPr>
          <w:rFonts w:ascii="Book Antiqua" w:hAnsi="Book Antiqua"/>
          <w:b/>
          <w:sz w:val="28"/>
          <w:szCs w:val="28"/>
        </w:rPr>
      </w:pPr>
      <w:r w:rsidRPr="00B04082">
        <w:rPr>
          <w:rFonts w:ascii="Book Antiqua" w:hAnsi="Book Antiqua"/>
          <w:b/>
          <w:sz w:val="28"/>
          <w:szCs w:val="28"/>
        </w:rPr>
        <w:t xml:space="preserve">National update: </w:t>
      </w:r>
      <w:r w:rsidRPr="00B04082">
        <w:rPr>
          <w:rFonts w:ascii="Book Antiqua" w:hAnsi="Book Antiqua"/>
          <w:b/>
          <w:sz w:val="28"/>
          <w:szCs w:val="28"/>
        </w:rPr>
        <w:br/>
        <w:t>policy and legislation</w:t>
      </w:r>
      <w:r w:rsidR="00251D0D" w:rsidRPr="00036A8F">
        <w:rPr>
          <w:rStyle w:val="Heading1Char"/>
          <w:rFonts w:ascii="Book Antiqua" w:hAnsi="Book Antiqua"/>
          <w:b w:val="0"/>
          <w:caps w:val="0"/>
          <w:szCs w:val="28"/>
        </w:rPr>
        <w:fldChar w:fldCharType="end"/>
      </w:r>
    </w:p>
    <w:p w14:paraId="6E505112" w14:textId="77777777" w:rsidR="0073158B" w:rsidRPr="007F6512" w:rsidRDefault="0073158B" w:rsidP="00A661A5">
      <w:pPr>
        <w:spacing w:line="276" w:lineRule="auto"/>
        <w:jc w:val="center"/>
        <w:rPr>
          <w:rFonts w:ascii="Book Antiqua" w:hAnsi="Book Antiqua"/>
          <w:szCs w:val="28"/>
          <w:lang w:val="en-NZ"/>
        </w:rPr>
      </w:pPr>
      <w:r w:rsidRPr="007F6512">
        <w:rPr>
          <w:rFonts w:ascii="Book Antiqua" w:hAnsi="Book Antiqua"/>
          <w:szCs w:val="28"/>
          <w:lang w:val="en-NZ"/>
        </w:rPr>
        <w:t xml:space="preserve">(click </w:t>
      </w:r>
      <w:r w:rsidR="00395C4C" w:rsidRPr="007F6512">
        <w:rPr>
          <w:rFonts w:ascii="Book Antiqua" w:hAnsi="Book Antiqua"/>
          <w:szCs w:val="28"/>
          <w:lang w:val="en-NZ"/>
        </w:rPr>
        <w:t xml:space="preserve">titles </w:t>
      </w:r>
      <w:r w:rsidR="0076343C" w:rsidRPr="007F6512">
        <w:rPr>
          <w:rFonts w:ascii="Book Antiqua" w:hAnsi="Book Antiqua"/>
          <w:szCs w:val="28"/>
          <w:lang w:val="en-NZ"/>
        </w:rPr>
        <w:t xml:space="preserve">for </w:t>
      </w:r>
      <w:r w:rsidRPr="007F6512">
        <w:rPr>
          <w:rFonts w:ascii="Book Antiqua" w:hAnsi="Book Antiqua"/>
          <w:szCs w:val="28"/>
          <w:lang w:val="en-NZ"/>
        </w:rPr>
        <w:t>full story)</w:t>
      </w:r>
    </w:p>
    <w:p w14:paraId="1A43122F" w14:textId="77777777" w:rsidR="0073158B" w:rsidRPr="0073158B" w:rsidRDefault="0073158B" w:rsidP="00A661A5">
      <w:pPr>
        <w:spacing w:line="276" w:lineRule="auto"/>
        <w:jc w:val="center"/>
        <w:rPr>
          <w:lang w:val="en-NZ"/>
        </w:rPr>
      </w:pPr>
    </w:p>
    <w:p w14:paraId="1A1D4541" w14:textId="77777777" w:rsidR="00AB3D1C" w:rsidRDefault="00AB3D1C" w:rsidP="00A661A5">
      <w:pPr>
        <w:pStyle w:val="Heading2"/>
        <w:spacing w:line="276" w:lineRule="auto"/>
        <w:rPr>
          <w:rFonts w:ascii="Book Antiqua" w:hAnsi="Book Antiqua"/>
          <w:sz w:val="24"/>
          <w:lang w:val="en-NZ"/>
        </w:rPr>
        <w:sectPr w:rsidR="00AB3D1C" w:rsidSect="00E77FD3">
          <w:headerReference w:type="default" r:id="rId8"/>
          <w:footerReference w:type="default" r:id="rId9"/>
          <w:pgSz w:w="11906" w:h="16838"/>
          <w:pgMar w:top="720" w:right="720" w:bottom="720" w:left="720" w:header="708" w:footer="708" w:gutter="0"/>
          <w:cols w:space="708"/>
          <w:docGrid w:linePitch="360"/>
        </w:sectPr>
      </w:pPr>
    </w:p>
    <w:p w14:paraId="34F7A879" w14:textId="77777777" w:rsidR="00F775CC" w:rsidRPr="00961CDE" w:rsidRDefault="002A13A7" w:rsidP="00A661A5">
      <w:pPr>
        <w:tabs>
          <w:tab w:val="left" w:leader="dot" w:pos="4395"/>
          <w:tab w:val="left" w:pos="5103"/>
        </w:tabs>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fldChar w:fldCharType="begin"/>
      </w:r>
      <w:r w:rsidRPr="00961CDE">
        <w:rPr>
          <w:rFonts w:ascii="Book Antiqua" w:hAnsi="Book Antiqua"/>
          <w:b/>
          <w:bCs/>
          <w:color w:val="4F81BD" w:themeColor="accent1"/>
          <w:sz w:val="22"/>
          <w:szCs w:val="22"/>
          <w:lang w:val="en-NZ"/>
        </w:rPr>
        <w:instrText xml:space="preserve"> HYPERLINK  \l "_Parental_Leave_and" </w:instrText>
      </w:r>
      <w:r w:rsidRPr="00961CDE">
        <w:rPr>
          <w:rFonts w:ascii="Book Antiqua" w:hAnsi="Book Antiqua"/>
          <w:b/>
          <w:bCs/>
          <w:color w:val="4F81BD" w:themeColor="accent1"/>
          <w:sz w:val="22"/>
          <w:szCs w:val="22"/>
          <w:lang w:val="en-NZ"/>
        </w:rPr>
        <w:fldChar w:fldCharType="separate"/>
      </w:r>
      <w:r w:rsidR="00F775CC" w:rsidRPr="00961CDE">
        <w:rPr>
          <w:rFonts w:ascii="Book Antiqua" w:hAnsi="Book Antiqua"/>
          <w:b/>
          <w:bCs/>
          <w:color w:val="4F81BD" w:themeColor="accent1"/>
          <w:sz w:val="22"/>
          <w:szCs w:val="22"/>
          <w:lang w:val="en-NZ"/>
        </w:rPr>
        <w:t>Update on the new Parliament</w:t>
      </w:r>
    </w:p>
    <w:p w14:paraId="10870583" w14:textId="61F74CF7" w:rsidR="004F19B5" w:rsidRPr="00961CDE" w:rsidRDefault="002A13A7" w:rsidP="00A661A5">
      <w:pPr>
        <w:tabs>
          <w:tab w:val="left" w:leader="dot" w:pos="4395"/>
          <w:tab w:val="left" w:pos="5103"/>
        </w:tabs>
        <w:spacing w:line="276" w:lineRule="auto"/>
        <w:rPr>
          <w:rFonts w:ascii="Book Antiqua" w:hAnsi="Book Antiqua" w:cstheme="majorHAnsi"/>
          <w:bCs/>
          <w:sz w:val="22"/>
          <w:szCs w:val="22"/>
          <w:lang w:val="en-NZ"/>
        </w:rPr>
      </w:pPr>
      <w:r w:rsidRPr="00961CDE">
        <w:rPr>
          <w:rFonts w:ascii="Book Antiqua" w:hAnsi="Book Antiqua"/>
          <w:b/>
          <w:bCs/>
          <w:color w:val="4F81BD" w:themeColor="accent1"/>
          <w:sz w:val="22"/>
          <w:szCs w:val="22"/>
          <w:lang w:val="en-NZ"/>
        </w:rPr>
        <w:fldChar w:fldCharType="end"/>
      </w:r>
      <w:r w:rsidR="005F5E2F" w:rsidRPr="00961CDE">
        <w:rPr>
          <w:rFonts w:ascii="Book Antiqua" w:hAnsi="Book Antiqua" w:cstheme="majorHAnsi"/>
          <w:bCs/>
          <w:sz w:val="22"/>
          <w:szCs w:val="22"/>
          <w:lang w:val="en-NZ"/>
        </w:rPr>
        <w:t>The new Parliament has reinstated most of the bills introduced by its predecessor, according urgency to three</w:t>
      </w:r>
      <w:r w:rsidR="00F45A9E" w:rsidRPr="00961CDE">
        <w:rPr>
          <w:rFonts w:ascii="Book Antiqua" w:hAnsi="Book Antiqua" w:cstheme="majorHAnsi"/>
          <w:bCs/>
          <w:sz w:val="22"/>
          <w:szCs w:val="22"/>
          <w:lang w:val="en-NZ"/>
        </w:rPr>
        <w:t>.  Two of these reflect Labour policy:</w:t>
      </w:r>
      <w:r w:rsidR="005F5E2F" w:rsidRPr="00961CDE">
        <w:rPr>
          <w:rFonts w:ascii="Book Antiqua" w:hAnsi="Book Antiqua" w:cstheme="majorHAnsi"/>
          <w:bCs/>
          <w:sz w:val="22"/>
          <w:szCs w:val="22"/>
          <w:lang w:val="en-NZ"/>
        </w:rPr>
        <w:t xml:space="preserve"> the </w:t>
      </w:r>
      <w:r w:rsidR="005F5E2F" w:rsidRPr="00961CDE">
        <w:rPr>
          <w:rFonts w:ascii="Book Antiqua" w:hAnsi="Book Antiqua" w:cstheme="majorHAnsi"/>
          <w:b/>
          <w:bCs/>
          <w:sz w:val="22"/>
          <w:szCs w:val="22"/>
          <w:lang w:val="en-NZ"/>
        </w:rPr>
        <w:t>Families Package (Income Tax and Benefits) Bill,</w:t>
      </w:r>
      <w:r w:rsidR="005F5E2F" w:rsidRPr="00961CDE">
        <w:rPr>
          <w:rFonts w:ascii="Book Antiqua" w:hAnsi="Book Antiqua" w:cstheme="majorHAnsi"/>
          <w:bCs/>
          <w:sz w:val="22"/>
          <w:szCs w:val="22"/>
          <w:lang w:val="en-NZ"/>
        </w:rPr>
        <w:t xml:space="preserve"> the </w:t>
      </w:r>
      <w:r w:rsidR="005F5E2F" w:rsidRPr="00961CDE">
        <w:rPr>
          <w:rFonts w:ascii="Book Antiqua" w:hAnsi="Book Antiqua" w:cstheme="majorHAnsi"/>
          <w:b/>
          <w:bCs/>
          <w:sz w:val="22"/>
          <w:szCs w:val="22"/>
          <w:lang w:val="en-NZ"/>
        </w:rPr>
        <w:t>Parental Leave and Employment Protection Amendment Bill</w:t>
      </w:r>
      <w:r w:rsidR="000C115F" w:rsidRPr="00961CDE">
        <w:rPr>
          <w:rFonts w:ascii="Book Antiqua" w:hAnsi="Book Antiqua"/>
          <w:sz w:val="22"/>
          <w:szCs w:val="22"/>
        </w:rPr>
        <w:t xml:space="preserve">. </w:t>
      </w:r>
      <w:r w:rsidR="00F775CC" w:rsidRPr="00961CDE">
        <w:rPr>
          <w:rFonts w:ascii="Book Antiqua" w:hAnsi="Book Antiqua"/>
          <w:sz w:val="22"/>
          <w:szCs w:val="22"/>
        </w:rPr>
        <w:t xml:space="preserve">The </w:t>
      </w:r>
      <w:r w:rsidR="00F775CC" w:rsidRPr="00961CDE">
        <w:rPr>
          <w:rFonts w:ascii="Book Antiqua" w:hAnsi="Book Antiqua"/>
          <w:b/>
          <w:sz w:val="22"/>
          <w:szCs w:val="22"/>
        </w:rPr>
        <w:t>Criminal Records (Expungement of Convictions for Historical Homosexual Offences) Act</w:t>
      </w:r>
      <w:r w:rsidR="00F775CC" w:rsidRPr="00961CDE">
        <w:rPr>
          <w:rFonts w:ascii="Book Antiqua" w:hAnsi="Book Antiqua"/>
          <w:sz w:val="22"/>
          <w:szCs w:val="22"/>
        </w:rPr>
        <w:t xml:space="preserve"> - also a Labour measure -became law on 9 April 2018. The aim of the Act is to reduce prejudice and stigma arising from a conviction for a historical homosexual offence by enabling an eligible person to apply for expungement of the conviction if the Secretary of Justice decides, on the balance of probabilities, that the conviction meets the test for expungement. Namely it would not be an offence under today’s law.</w:t>
      </w:r>
    </w:p>
    <w:p w14:paraId="7938D7A8" w14:textId="77777777" w:rsidR="005F5E2F" w:rsidRPr="00961CDE" w:rsidRDefault="005F5E2F" w:rsidP="00A661A5">
      <w:pPr>
        <w:tabs>
          <w:tab w:val="left" w:leader="dot" w:pos="4395"/>
          <w:tab w:val="left" w:pos="5103"/>
        </w:tabs>
        <w:spacing w:line="276" w:lineRule="auto"/>
        <w:rPr>
          <w:rFonts w:ascii="Book Antiqua" w:hAnsi="Book Antiqua"/>
          <w:b/>
          <w:color w:val="4F81BD" w:themeColor="accent1"/>
          <w:sz w:val="22"/>
          <w:szCs w:val="22"/>
        </w:rPr>
      </w:pPr>
    </w:p>
    <w:p w14:paraId="26EB2073" w14:textId="7B557706" w:rsidR="00725F83" w:rsidRPr="00961CDE" w:rsidRDefault="003D763D" w:rsidP="00A661A5">
      <w:pPr>
        <w:tabs>
          <w:tab w:val="left" w:leader="dot" w:pos="4395"/>
          <w:tab w:val="left" w:pos="5103"/>
        </w:tabs>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fldChar w:fldCharType="begin"/>
      </w:r>
      <w:r w:rsidR="007700E3">
        <w:rPr>
          <w:rFonts w:ascii="Book Antiqua" w:hAnsi="Book Antiqua"/>
          <w:b/>
          <w:bCs/>
          <w:color w:val="4F81BD" w:themeColor="accent1"/>
          <w:sz w:val="22"/>
          <w:szCs w:val="22"/>
          <w:lang w:val="en-NZ"/>
        </w:rPr>
        <w:instrText>HYPERLINK  \l "_Child_Poverty_Reduction"</w:instrText>
      </w:r>
      <w:r w:rsidRPr="00961CDE">
        <w:rPr>
          <w:rFonts w:ascii="Book Antiqua" w:hAnsi="Book Antiqua"/>
          <w:b/>
          <w:bCs/>
          <w:color w:val="4F81BD" w:themeColor="accent1"/>
          <w:sz w:val="22"/>
          <w:szCs w:val="22"/>
          <w:lang w:val="en-NZ"/>
        </w:rPr>
        <w:fldChar w:fldCharType="separate"/>
      </w:r>
      <w:r w:rsidR="00F775CC" w:rsidRPr="00961CDE">
        <w:rPr>
          <w:rFonts w:ascii="Book Antiqua" w:hAnsi="Book Antiqua"/>
          <w:b/>
          <w:bCs/>
          <w:color w:val="4F81BD" w:themeColor="accent1"/>
          <w:sz w:val="22"/>
          <w:szCs w:val="22"/>
          <w:lang w:val="en-NZ"/>
        </w:rPr>
        <w:t>Child Poverty Reduction Bill</w:t>
      </w:r>
      <w:r w:rsidR="00725F83" w:rsidRPr="00961CDE">
        <w:rPr>
          <w:rFonts w:ascii="Book Antiqua" w:hAnsi="Book Antiqua"/>
          <w:b/>
          <w:bCs/>
          <w:color w:val="4F81BD" w:themeColor="accent1"/>
          <w:sz w:val="22"/>
          <w:szCs w:val="22"/>
          <w:lang w:val="en-NZ"/>
        </w:rPr>
        <w:t xml:space="preserve"> </w:t>
      </w:r>
    </w:p>
    <w:p w14:paraId="2548958D" w14:textId="662A0E30" w:rsidR="00725F83" w:rsidRPr="00961CDE" w:rsidRDefault="003D763D" w:rsidP="00A661A5">
      <w:pPr>
        <w:spacing w:line="276" w:lineRule="auto"/>
        <w:rPr>
          <w:rFonts w:ascii="Book Antiqua" w:hAnsi="Book Antiqua" w:cstheme="majorHAnsi"/>
          <w:bCs/>
          <w:sz w:val="22"/>
          <w:szCs w:val="22"/>
          <w:lang w:val="en-NZ"/>
        </w:rPr>
      </w:pPr>
      <w:r w:rsidRPr="00961CDE">
        <w:rPr>
          <w:rFonts w:ascii="Book Antiqua" w:hAnsi="Book Antiqua"/>
          <w:b/>
          <w:bCs/>
          <w:color w:val="4F81BD" w:themeColor="accent1"/>
          <w:sz w:val="22"/>
          <w:szCs w:val="22"/>
          <w:lang w:val="en-NZ"/>
        </w:rPr>
        <w:fldChar w:fldCharType="end"/>
      </w:r>
      <w:r w:rsidR="00725F83" w:rsidRPr="00961CDE">
        <w:rPr>
          <w:rFonts w:ascii="Book Antiqua" w:hAnsi="Book Antiqua" w:cstheme="majorHAnsi"/>
          <w:bCs/>
          <w:sz w:val="22"/>
          <w:szCs w:val="22"/>
          <w:lang w:val="en-NZ"/>
        </w:rPr>
        <w:t xml:space="preserve">The Bill </w:t>
      </w:r>
      <w:r w:rsidR="00F775CC" w:rsidRPr="00961CDE">
        <w:rPr>
          <w:rFonts w:ascii="Book Antiqua" w:hAnsi="Book Antiqua" w:cstheme="majorHAnsi"/>
          <w:bCs/>
          <w:sz w:val="22"/>
          <w:szCs w:val="22"/>
          <w:lang w:val="en-NZ"/>
        </w:rPr>
        <w:t xml:space="preserve">is designed to encourage a focus on child poverty reduction, facilitate political accountability against published targets, require transparent reporting on child poverty levels and create a greater commitment by Government to address child well-being. </w:t>
      </w:r>
      <w:r w:rsidR="00725F83" w:rsidRPr="00961CDE">
        <w:rPr>
          <w:rFonts w:ascii="Book Antiqua" w:hAnsi="Book Antiqua" w:cstheme="majorHAnsi"/>
          <w:bCs/>
          <w:sz w:val="22"/>
          <w:szCs w:val="22"/>
          <w:lang w:val="en-NZ"/>
        </w:rPr>
        <w:t xml:space="preserve">   </w:t>
      </w:r>
    </w:p>
    <w:p w14:paraId="6C9DF76B" w14:textId="77777777" w:rsidR="00B2542B" w:rsidRPr="00961CDE" w:rsidRDefault="00B2542B" w:rsidP="00A661A5">
      <w:pPr>
        <w:spacing w:line="276" w:lineRule="auto"/>
        <w:rPr>
          <w:rFonts w:ascii="Book Antiqua" w:hAnsi="Book Antiqua" w:cstheme="majorHAnsi"/>
          <w:b/>
          <w:bCs/>
          <w:sz w:val="22"/>
          <w:szCs w:val="22"/>
          <w:lang w:val="en-NZ"/>
        </w:rPr>
      </w:pPr>
    </w:p>
    <w:p w14:paraId="0329C2BB" w14:textId="775D3FC2" w:rsidR="00B2542B" w:rsidRPr="00961CDE" w:rsidRDefault="003D763D" w:rsidP="00A661A5">
      <w:pPr>
        <w:tabs>
          <w:tab w:val="left" w:leader="dot" w:pos="4395"/>
          <w:tab w:val="left" w:pos="5103"/>
        </w:tabs>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fldChar w:fldCharType="begin"/>
      </w:r>
      <w:r w:rsidR="007700E3">
        <w:rPr>
          <w:rFonts w:ascii="Book Antiqua" w:hAnsi="Book Antiqua"/>
          <w:b/>
          <w:bCs/>
          <w:color w:val="4F81BD" w:themeColor="accent1"/>
          <w:sz w:val="22"/>
          <w:szCs w:val="22"/>
          <w:lang w:val="en-NZ"/>
        </w:rPr>
        <w:instrText>HYPERLINK  \l "_Equal_Pay_Legislation"</w:instrText>
      </w:r>
      <w:r w:rsidRPr="00961CDE">
        <w:rPr>
          <w:rFonts w:ascii="Book Antiqua" w:hAnsi="Book Antiqua"/>
          <w:b/>
          <w:bCs/>
          <w:color w:val="4F81BD" w:themeColor="accent1"/>
          <w:sz w:val="22"/>
          <w:szCs w:val="22"/>
          <w:lang w:val="en-NZ"/>
        </w:rPr>
        <w:fldChar w:fldCharType="separate"/>
      </w:r>
      <w:r w:rsidR="00B2542B" w:rsidRPr="00961CDE">
        <w:rPr>
          <w:rFonts w:ascii="Book Antiqua" w:hAnsi="Book Antiqua"/>
          <w:b/>
          <w:bCs/>
          <w:color w:val="4F81BD" w:themeColor="accent1"/>
          <w:sz w:val="22"/>
          <w:szCs w:val="22"/>
          <w:lang w:val="en-NZ"/>
        </w:rPr>
        <w:t>Equal Pay</w:t>
      </w:r>
      <w:r w:rsidR="00A661A5">
        <w:rPr>
          <w:rFonts w:ascii="Book Antiqua" w:hAnsi="Book Antiqua"/>
          <w:b/>
          <w:bCs/>
          <w:color w:val="4F81BD" w:themeColor="accent1"/>
          <w:sz w:val="22"/>
          <w:szCs w:val="22"/>
          <w:lang w:val="en-NZ"/>
        </w:rPr>
        <w:t xml:space="preserve"> L</w:t>
      </w:r>
      <w:r w:rsidR="00B2542B" w:rsidRPr="00961CDE">
        <w:rPr>
          <w:rFonts w:ascii="Book Antiqua" w:hAnsi="Book Antiqua"/>
          <w:b/>
          <w:bCs/>
          <w:color w:val="4F81BD" w:themeColor="accent1"/>
          <w:sz w:val="22"/>
          <w:szCs w:val="22"/>
          <w:lang w:val="en-NZ"/>
        </w:rPr>
        <w:t>egislation</w:t>
      </w:r>
    </w:p>
    <w:p w14:paraId="0F9DF4A3" w14:textId="2A719FD0" w:rsidR="004F19B5" w:rsidRPr="00961CDE" w:rsidRDefault="003D763D" w:rsidP="00A661A5">
      <w:pPr>
        <w:tabs>
          <w:tab w:val="left" w:leader="dot" w:pos="4395"/>
          <w:tab w:val="left" w:pos="5103"/>
        </w:tabs>
        <w:spacing w:line="276" w:lineRule="auto"/>
        <w:rPr>
          <w:rFonts w:ascii="Book Antiqua" w:hAnsi="Book Antiqua"/>
          <w:sz w:val="22"/>
          <w:szCs w:val="22"/>
        </w:rPr>
      </w:pPr>
      <w:r w:rsidRPr="00961CDE">
        <w:rPr>
          <w:rFonts w:ascii="Book Antiqua" w:hAnsi="Book Antiqua"/>
          <w:b/>
          <w:bCs/>
          <w:color w:val="4F81BD" w:themeColor="accent1"/>
          <w:sz w:val="22"/>
          <w:szCs w:val="22"/>
          <w:lang w:val="en-NZ"/>
        </w:rPr>
        <w:fldChar w:fldCharType="end"/>
      </w:r>
      <w:r w:rsidR="00F775CC" w:rsidRPr="00961CDE">
        <w:rPr>
          <w:sz w:val="22"/>
          <w:szCs w:val="22"/>
        </w:rPr>
        <w:t xml:space="preserve"> </w:t>
      </w:r>
      <w:r w:rsidR="00F775CC" w:rsidRPr="00961CDE">
        <w:rPr>
          <w:rFonts w:ascii="Book Antiqua" w:hAnsi="Book Antiqua"/>
          <w:sz w:val="22"/>
          <w:szCs w:val="22"/>
        </w:rPr>
        <w:t>The new government reconvened the Joint Working Group on Pay Equity Principles as a step towards establishing pay equity for New Zealand women.</w:t>
      </w:r>
      <w:r w:rsidR="00F775CC" w:rsidRPr="00961CDE">
        <w:rPr>
          <w:rFonts w:ascii="Book Antiqua" w:eastAsiaTheme="minorHAnsi" w:hAnsi="Book Antiqua" w:cstheme="minorBidi"/>
          <w:sz w:val="22"/>
          <w:szCs w:val="22"/>
          <w:lang w:val="en-NZ"/>
        </w:rPr>
        <w:t xml:space="preserve"> </w:t>
      </w:r>
      <w:r w:rsidR="00F775CC" w:rsidRPr="00961CDE">
        <w:rPr>
          <w:rFonts w:ascii="Book Antiqua" w:hAnsi="Book Antiqua"/>
          <w:sz w:val="22"/>
          <w:szCs w:val="22"/>
          <w:lang w:val="en-NZ"/>
        </w:rPr>
        <w:t xml:space="preserve"> It is hoped that new legislation will be introduced by the middle of the year.  </w:t>
      </w:r>
    </w:p>
    <w:p w14:paraId="0D7D8B07" w14:textId="77777777" w:rsidR="00F775CC" w:rsidRDefault="00F775CC" w:rsidP="00A661A5">
      <w:pPr>
        <w:tabs>
          <w:tab w:val="left" w:leader="dot" w:pos="4395"/>
          <w:tab w:val="left" w:pos="5103"/>
        </w:tabs>
        <w:spacing w:line="276" w:lineRule="auto"/>
        <w:rPr>
          <w:rFonts w:ascii="Book Antiqua" w:hAnsi="Book Antiqua"/>
          <w:b/>
          <w:color w:val="4F81BD" w:themeColor="accent1"/>
          <w:sz w:val="22"/>
          <w:szCs w:val="22"/>
        </w:rPr>
      </w:pPr>
    </w:p>
    <w:p w14:paraId="44DBE5C6" w14:textId="77777777" w:rsidR="00A661A5" w:rsidRDefault="00A661A5" w:rsidP="00A661A5">
      <w:pPr>
        <w:tabs>
          <w:tab w:val="left" w:leader="dot" w:pos="4395"/>
          <w:tab w:val="left" w:pos="5103"/>
        </w:tabs>
        <w:spacing w:line="276" w:lineRule="auto"/>
        <w:rPr>
          <w:rFonts w:ascii="Book Antiqua" w:hAnsi="Book Antiqua"/>
          <w:b/>
          <w:color w:val="4F81BD" w:themeColor="accent1"/>
          <w:sz w:val="22"/>
          <w:szCs w:val="22"/>
        </w:rPr>
      </w:pPr>
    </w:p>
    <w:p w14:paraId="430AC0F6" w14:textId="77777777" w:rsidR="00A661A5" w:rsidRDefault="00A661A5" w:rsidP="00A661A5">
      <w:pPr>
        <w:tabs>
          <w:tab w:val="left" w:leader="dot" w:pos="4395"/>
          <w:tab w:val="left" w:pos="5103"/>
        </w:tabs>
        <w:spacing w:line="276" w:lineRule="auto"/>
        <w:rPr>
          <w:rFonts w:ascii="Book Antiqua" w:hAnsi="Book Antiqua"/>
          <w:b/>
          <w:color w:val="4F81BD" w:themeColor="accent1"/>
          <w:sz w:val="22"/>
          <w:szCs w:val="22"/>
        </w:rPr>
      </w:pPr>
    </w:p>
    <w:p w14:paraId="0E9963A7" w14:textId="77777777" w:rsidR="00A661A5" w:rsidRDefault="00A661A5" w:rsidP="00A661A5">
      <w:pPr>
        <w:tabs>
          <w:tab w:val="left" w:leader="dot" w:pos="4395"/>
          <w:tab w:val="left" w:pos="5103"/>
        </w:tabs>
        <w:spacing w:line="276" w:lineRule="auto"/>
        <w:rPr>
          <w:rFonts w:ascii="Book Antiqua" w:hAnsi="Book Antiqua"/>
          <w:b/>
          <w:color w:val="4F81BD" w:themeColor="accent1"/>
          <w:sz w:val="22"/>
          <w:szCs w:val="22"/>
        </w:rPr>
      </w:pPr>
    </w:p>
    <w:p w14:paraId="2D90BFAE" w14:textId="77777777" w:rsidR="00A661A5" w:rsidRDefault="00A661A5" w:rsidP="00A661A5">
      <w:pPr>
        <w:tabs>
          <w:tab w:val="left" w:leader="dot" w:pos="4395"/>
          <w:tab w:val="left" w:pos="5103"/>
        </w:tabs>
        <w:spacing w:line="276" w:lineRule="auto"/>
        <w:rPr>
          <w:rFonts w:ascii="Book Antiqua" w:hAnsi="Book Antiqua"/>
          <w:b/>
          <w:color w:val="4F81BD" w:themeColor="accent1"/>
          <w:sz w:val="22"/>
          <w:szCs w:val="22"/>
        </w:rPr>
      </w:pPr>
    </w:p>
    <w:p w14:paraId="25165107" w14:textId="77777777" w:rsidR="00A661A5" w:rsidRPr="00961CDE" w:rsidRDefault="00A661A5" w:rsidP="00A661A5">
      <w:pPr>
        <w:tabs>
          <w:tab w:val="left" w:leader="dot" w:pos="4395"/>
          <w:tab w:val="left" w:pos="5103"/>
        </w:tabs>
        <w:spacing w:line="276" w:lineRule="auto"/>
        <w:rPr>
          <w:rFonts w:ascii="Book Antiqua" w:hAnsi="Book Antiqua"/>
          <w:b/>
          <w:color w:val="4F81BD" w:themeColor="accent1"/>
          <w:sz w:val="22"/>
          <w:szCs w:val="22"/>
        </w:rPr>
      </w:pPr>
    </w:p>
    <w:p w14:paraId="63DF0EC4" w14:textId="4BCE939A" w:rsidR="00725F83" w:rsidRPr="00961CDE" w:rsidRDefault="00DE2C1D" w:rsidP="00A661A5">
      <w:pPr>
        <w:tabs>
          <w:tab w:val="left" w:leader="dot" w:pos="4395"/>
          <w:tab w:val="left" w:pos="5103"/>
        </w:tabs>
        <w:spacing w:line="276" w:lineRule="auto"/>
        <w:rPr>
          <w:rFonts w:ascii="Book Antiqua" w:hAnsi="Book Antiqua" w:cstheme="majorHAnsi"/>
          <w:b/>
          <w:sz w:val="22"/>
          <w:szCs w:val="22"/>
          <w:lang w:val="en-NZ"/>
        </w:rPr>
      </w:pPr>
      <w:hyperlink w:anchor="_Protected_Disclosures_legislation" w:history="1">
        <w:r w:rsidR="00F775CC" w:rsidRPr="00961CDE">
          <w:rPr>
            <w:rFonts w:ascii="Book Antiqua" w:hAnsi="Book Antiqua"/>
            <w:b/>
            <w:bCs/>
            <w:color w:val="4F81BD" w:themeColor="accent1"/>
            <w:sz w:val="22"/>
            <w:szCs w:val="22"/>
            <w:lang w:val="en-NZ"/>
          </w:rPr>
          <w:t>Protected Disclosures legislation review</w:t>
        </w:r>
      </w:hyperlink>
    </w:p>
    <w:p w14:paraId="2546DAFB" w14:textId="20946493" w:rsidR="00B2542B" w:rsidRPr="00961CDE" w:rsidRDefault="000C115F" w:rsidP="00A661A5">
      <w:pPr>
        <w:tabs>
          <w:tab w:val="left" w:pos="5103"/>
        </w:tabs>
        <w:spacing w:line="276" w:lineRule="auto"/>
        <w:rPr>
          <w:rFonts w:ascii="Book Antiqua" w:hAnsi="Book Antiqua"/>
          <w:sz w:val="22"/>
          <w:szCs w:val="22"/>
        </w:rPr>
      </w:pPr>
      <w:r w:rsidRPr="00961CDE">
        <w:rPr>
          <w:rFonts w:ascii="Book Antiqua" w:hAnsi="Book Antiqua"/>
          <w:sz w:val="22"/>
          <w:szCs w:val="22"/>
        </w:rPr>
        <w:t>The Act is designed to promote the public interest by facilitating the disclosure and investigation of serious wrongdoing in the workplace, by providing protection for individuals who report concerns. Special victimisation provisions are in the Human Rights Act 1993.</w:t>
      </w:r>
    </w:p>
    <w:p w14:paraId="659AA081" w14:textId="77777777" w:rsidR="000C115F" w:rsidRPr="00961CDE" w:rsidRDefault="000C115F" w:rsidP="00A661A5">
      <w:pPr>
        <w:tabs>
          <w:tab w:val="left" w:pos="5103"/>
        </w:tabs>
        <w:spacing w:line="276" w:lineRule="auto"/>
        <w:rPr>
          <w:rFonts w:ascii="Book Antiqua" w:hAnsi="Book Antiqua"/>
          <w:b/>
          <w:color w:val="4F81BD" w:themeColor="accent1"/>
          <w:sz w:val="22"/>
          <w:szCs w:val="22"/>
          <w:lang w:val="en-NZ"/>
        </w:rPr>
      </w:pPr>
    </w:p>
    <w:p w14:paraId="5EC40821" w14:textId="2C8E6175" w:rsidR="000C115F" w:rsidRPr="00961CDE" w:rsidRDefault="003D763D" w:rsidP="00A661A5">
      <w:pPr>
        <w:tabs>
          <w:tab w:val="left" w:leader="dot" w:pos="4395"/>
          <w:tab w:val="left" w:pos="5103"/>
        </w:tabs>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fldChar w:fldCharType="begin"/>
      </w:r>
      <w:r w:rsidR="007700E3">
        <w:rPr>
          <w:rFonts w:ascii="Book Antiqua" w:hAnsi="Book Antiqua"/>
          <w:b/>
          <w:bCs/>
          <w:color w:val="4F81BD" w:themeColor="accent1"/>
          <w:sz w:val="22"/>
          <w:szCs w:val="22"/>
          <w:lang w:val="en-NZ"/>
        </w:rPr>
        <w:instrText>HYPERLINK  \l "_Privacy_Bill"</w:instrText>
      </w:r>
      <w:r w:rsidRPr="00961CDE">
        <w:rPr>
          <w:rFonts w:ascii="Book Antiqua" w:hAnsi="Book Antiqua"/>
          <w:b/>
          <w:bCs/>
          <w:color w:val="4F81BD" w:themeColor="accent1"/>
          <w:sz w:val="22"/>
          <w:szCs w:val="22"/>
          <w:lang w:val="en-NZ"/>
        </w:rPr>
        <w:fldChar w:fldCharType="separate"/>
      </w:r>
      <w:r w:rsidR="000C115F" w:rsidRPr="00961CDE">
        <w:rPr>
          <w:rFonts w:ascii="Book Antiqua" w:hAnsi="Book Antiqua"/>
          <w:b/>
          <w:bCs/>
          <w:color w:val="4F81BD" w:themeColor="accent1"/>
          <w:sz w:val="22"/>
          <w:szCs w:val="22"/>
          <w:lang w:val="en-NZ"/>
        </w:rPr>
        <w:t>Privacy Bill</w:t>
      </w:r>
    </w:p>
    <w:p w14:paraId="4A04E051" w14:textId="451CDC36" w:rsidR="00246684" w:rsidRPr="00961CDE" w:rsidRDefault="003D763D" w:rsidP="00A661A5">
      <w:pPr>
        <w:tabs>
          <w:tab w:val="left" w:leader="dot" w:pos="4395"/>
          <w:tab w:val="left" w:pos="5103"/>
        </w:tabs>
        <w:spacing w:line="276" w:lineRule="auto"/>
        <w:rPr>
          <w:rFonts w:ascii="Book Antiqua" w:hAnsi="Book Antiqua"/>
          <w:sz w:val="22"/>
          <w:szCs w:val="22"/>
        </w:rPr>
      </w:pPr>
      <w:r w:rsidRPr="00961CDE">
        <w:rPr>
          <w:rFonts w:ascii="Book Antiqua" w:hAnsi="Book Antiqua"/>
          <w:b/>
          <w:bCs/>
          <w:color w:val="4F81BD" w:themeColor="accent1"/>
          <w:sz w:val="22"/>
          <w:szCs w:val="22"/>
          <w:lang w:val="en-NZ"/>
        </w:rPr>
        <w:fldChar w:fldCharType="end"/>
      </w:r>
      <w:r w:rsidR="000C115F" w:rsidRPr="00961CDE">
        <w:rPr>
          <w:rFonts w:ascii="Book Antiqua" w:hAnsi="Book Antiqua"/>
          <w:sz w:val="22"/>
          <w:szCs w:val="22"/>
        </w:rPr>
        <w:t>It repeals and replaces the Privacy Act 1993, as recommended in the Law Commission's 2011 review. Its key purpose is to promote people's confidence that their personal information is secure and will be treated properly.</w:t>
      </w:r>
    </w:p>
    <w:p w14:paraId="52A43EE2" w14:textId="77777777" w:rsidR="000C115F" w:rsidRPr="00961CDE" w:rsidRDefault="000C115F" w:rsidP="00A661A5">
      <w:pPr>
        <w:tabs>
          <w:tab w:val="left" w:leader="dot" w:pos="4395"/>
          <w:tab w:val="left" w:pos="5103"/>
        </w:tabs>
        <w:spacing w:line="276" w:lineRule="auto"/>
        <w:rPr>
          <w:rFonts w:ascii="Times New Roman" w:hAnsi="Times New Roman"/>
          <w:sz w:val="22"/>
          <w:szCs w:val="22"/>
        </w:rPr>
      </w:pPr>
    </w:p>
    <w:p w14:paraId="337EAA78" w14:textId="64EEAC0A" w:rsidR="000C115F" w:rsidRPr="00961CDE" w:rsidRDefault="000C115F" w:rsidP="00A661A5">
      <w:pPr>
        <w:tabs>
          <w:tab w:val="left" w:leader="dot" w:pos="4395"/>
          <w:tab w:val="left" w:pos="5103"/>
        </w:tabs>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fldChar w:fldCharType="begin"/>
      </w:r>
      <w:r w:rsidR="007700E3">
        <w:rPr>
          <w:rFonts w:ascii="Book Antiqua" w:hAnsi="Book Antiqua"/>
          <w:b/>
          <w:bCs/>
          <w:color w:val="4F81BD" w:themeColor="accent1"/>
          <w:sz w:val="22"/>
          <w:szCs w:val="22"/>
          <w:lang w:val="en-NZ"/>
        </w:rPr>
        <w:instrText>HYPERLINK  \l "_Bill_of_Rights"</w:instrText>
      </w:r>
      <w:r w:rsidRPr="00961CDE">
        <w:rPr>
          <w:rFonts w:ascii="Book Antiqua" w:hAnsi="Book Antiqua"/>
          <w:b/>
          <w:bCs/>
          <w:color w:val="4F81BD" w:themeColor="accent1"/>
          <w:sz w:val="22"/>
          <w:szCs w:val="22"/>
          <w:lang w:val="en-NZ"/>
        </w:rPr>
        <w:fldChar w:fldCharType="separate"/>
      </w:r>
      <w:r w:rsidRPr="00961CDE">
        <w:rPr>
          <w:rFonts w:ascii="Book Antiqua" w:hAnsi="Book Antiqua"/>
          <w:b/>
          <w:bCs/>
          <w:color w:val="4F81BD" w:themeColor="accent1"/>
          <w:sz w:val="22"/>
          <w:szCs w:val="22"/>
          <w:lang w:val="en-NZ"/>
        </w:rPr>
        <w:t>Bill of Rights</w:t>
      </w:r>
    </w:p>
    <w:p w14:paraId="6FDCE3E9" w14:textId="5EA20B5A" w:rsidR="005953EF" w:rsidRPr="00961CDE" w:rsidRDefault="000C115F" w:rsidP="00A661A5">
      <w:pPr>
        <w:tabs>
          <w:tab w:val="left" w:leader="dot" w:pos="4395"/>
          <w:tab w:val="left" w:pos="5103"/>
        </w:tabs>
        <w:spacing w:line="276" w:lineRule="auto"/>
        <w:rPr>
          <w:rFonts w:ascii="Book Antiqua" w:hAnsi="Book Antiqua"/>
          <w:sz w:val="22"/>
          <w:szCs w:val="22"/>
          <w:lang w:val="en-NZ"/>
        </w:rPr>
      </w:pPr>
      <w:r w:rsidRPr="00961CDE">
        <w:rPr>
          <w:rFonts w:ascii="Book Antiqua" w:hAnsi="Book Antiqua"/>
          <w:b/>
          <w:bCs/>
          <w:color w:val="4F81BD" w:themeColor="accent1"/>
          <w:sz w:val="22"/>
          <w:szCs w:val="22"/>
          <w:lang w:val="en-NZ"/>
        </w:rPr>
        <w:fldChar w:fldCharType="end"/>
      </w:r>
      <w:r w:rsidRPr="00961CDE">
        <w:rPr>
          <w:rFonts w:ascii="Book Antiqua" w:hAnsi="Book Antiqua"/>
          <w:sz w:val="22"/>
          <w:szCs w:val="22"/>
        </w:rPr>
        <w:t xml:space="preserve">The Government has indicated that it proposes amending the </w:t>
      </w:r>
      <w:r w:rsidRPr="00961CDE">
        <w:rPr>
          <w:rFonts w:ascii="Book Antiqua" w:hAnsi="Book Antiqua"/>
          <w:b/>
          <w:sz w:val="22"/>
          <w:szCs w:val="22"/>
        </w:rPr>
        <w:t>New Zealand Bill of Rights 1990</w:t>
      </w:r>
      <w:r w:rsidRPr="00961CDE">
        <w:rPr>
          <w:rFonts w:ascii="Book Antiqua" w:hAnsi="Book Antiqua"/>
          <w:sz w:val="22"/>
          <w:szCs w:val="22"/>
        </w:rPr>
        <w:t xml:space="preserve"> to allow the country's senior courts to make a declaration of inconsistency recommending to Parliament that it should review and reconsider whether a law contravenes the Bill of Rights.</w:t>
      </w:r>
    </w:p>
    <w:p w14:paraId="5B155B42" w14:textId="77777777" w:rsidR="00961CDE" w:rsidRPr="00961CDE" w:rsidRDefault="00961CDE" w:rsidP="00A661A5">
      <w:pPr>
        <w:tabs>
          <w:tab w:val="left" w:leader="dot" w:pos="4395"/>
          <w:tab w:val="left" w:pos="5103"/>
        </w:tabs>
        <w:spacing w:line="276" w:lineRule="auto"/>
        <w:rPr>
          <w:rFonts w:ascii="Times New Roman" w:hAnsi="Times New Roman"/>
          <w:sz w:val="22"/>
          <w:szCs w:val="22"/>
        </w:rPr>
      </w:pPr>
    </w:p>
    <w:p w14:paraId="6D4AD747" w14:textId="67C160EF" w:rsidR="00961CDE" w:rsidRPr="00961CDE" w:rsidRDefault="00961CDE" w:rsidP="00A661A5">
      <w:pPr>
        <w:tabs>
          <w:tab w:val="left" w:leader="dot" w:pos="4395"/>
          <w:tab w:val="left" w:pos="5103"/>
        </w:tabs>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fldChar w:fldCharType="begin"/>
      </w:r>
      <w:r w:rsidR="007700E3">
        <w:rPr>
          <w:rFonts w:ascii="Book Antiqua" w:hAnsi="Book Antiqua"/>
          <w:b/>
          <w:bCs/>
          <w:color w:val="4F81BD" w:themeColor="accent1"/>
          <w:sz w:val="22"/>
          <w:szCs w:val="22"/>
          <w:lang w:val="en-NZ"/>
        </w:rPr>
        <w:instrText>HYPERLINK  \l "_Inquiry_into_Mental"</w:instrText>
      </w:r>
      <w:r w:rsidRPr="00961CDE">
        <w:rPr>
          <w:rFonts w:ascii="Book Antiqua" w:hAnsi="Book Antiqua"/>
          <w:b/>
          <w:bCs/>
          <w:color w:val="4F81BD" w:themeColor="accent1"/>
          <w:sz w:val="22"/>
          <w:szCs w:val="22"/>
          <w:lang w:val="en-NZ"/>
        </w:rPr>
        <w:fldChar w:fldCharType="separate"/>
      </w:r>
      <w:r w:rsidRPr="00961CDE">
        <w:rPr>
          <w:rFonts w:ascii="Book Antiqua" w:hAnsi="Book Antiqua"/>
          <w:b/>
          <w:bCs/>
          <w:color w:val="4F81BD" w:themeColor="accent1"/>
          <w:sz w:val="22"/>
          <w:szCs w:val="22"/>
          <w:lang w:val="en-NZ"/>
        </w:rPr>
        <w:t>Inquiry into Mental Health and Addiction</w:t>
      </w:r>
    </w:p>
    <w:p w14:paraId="099A61E7" w14:textId="6F7781E8" w:rsidR="000C115F" w:rsidRPr="00961CDE" w:rsidRDefault="00961CDE" w:rsidP="00A661A5">
      <w:pPr>
        <w:tabs>
          <w:tab w:val="left" w:leader="dot" w:pos="4395"/>
          <w:tab w:val="left" w:pos="5103"/>
        </w:tabs>
        <w:spacing w:line="276" w:lineRule="auto"/>
        <w:rPr>
          <w:rFonts w:ascii="Book Antiqua" w:hAnsi="Book Antiqua"/>
          <w:sz w:val="22"/>
          <w:szCs w:val="22"/>
          <w:lang w:val="en-NZ"/>
        </w:rPr>
      </w:pPr>
      <w:r w:rsidRPr="00961CDE">
        <w:rPr>
          <w:rFonts w:ascii="Book Antiqua" w:hAnsi="Book Antiqua"/>
          <w:b/>
          <w:bCs/>
          <w:color w:val="4F81BD" w:themeColor="accent1"/>
          <w:sz w:val="22"/>
          <w:szCs w:val="22"/>
          <w:lang w:val="en-NZ"/>
        </w:rPr>
        <w:fldChar w:fldCharType="end"/>
      </w:r>
      <w:r w:rsidRPr="00961CDE">
        <w:rPr>
          <w:rFonts w:ascii="Book Antiqua" w:hAnsi="Book Antiqua"/>
          <w:sz w:val="22"/>
          <w:szCs w:val="22"/>
          <w:lang w:val="en-NZ"/>
        </w:rPr>
        <w:t>The Government has announced details of the Inquiry into Mental Health and Addiction. The Inquiry will be chaired by former Health and Disability Commissioner, Professor Ron Paterson, and is to report back to Government by the end of October.</w:t>
      </w:r>
    </w:p>
    <w:p w14:paraId="1385B837" w14:textId="77777777" w:rsidR="00961CDE" w:rsidRPr="00961CDE" w:rsidRDefault="00961CDE" w:rsidP="00A661A5">
      <w:pPr>
        <w:tabs>
          <w:tab w:val="left" w:leader="dot" w:pos="4395"/>
          <w:tab w:val="left" w:pos="5103"/>
        </w:tabs>
        <w:spacing w:line="276" w:lineRule="auto"/>
        <w:rPr>
          <w:rFonts w:ascii="Book Antiqua" w:hAnsi="Book Antiqua"/>
          <w:sz w:val="22"/>
          <w:szCs w:val="22"/>
          <w:lang w:val="en-NZ"/>
        </w:rPr>
      </w:pPr>
    </w:p>
    <w:p w14:paraId="0E445F03" w14:textId="463F41CE" w:rsidR="00961CDE" w:rsidRPr="00961CDE" w:rsidRDefault="00961CDE" w:rsidP="00A661A5">
      <w:pPr>
        <w:tabs>
          <w:tab w:val="left" w:leader="dot" w:pos="4395"/>
          <w:tab w:val="left" w:pos="5103"/>
        </w:tabs>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fldChar w:fldCharType="begin"/>
      </w:r>
      <w:r w:rsidR="007700E3">
        <w:rPr>
          <w:rFonts w:ascii="Book Antiqua" w:hAnsi="Book Antiqua"/>
          <w:b/>
          <w:bCs/>
          <w:color w:val="4F81BD" w:themeColor="accent1"/>
          <w:sz w:val="22"/>
          <w:szCs w:val="22"/>
          <w:lang w:val="en-NZ"/>
        </w:rPr>
        <w:instrText>HYPERLINK  \l "_Royal_Commission_of"</w:instrText>
      </w:r>
      <w:r w:rsidRPr="00961CDE">
        <w:rPr>
          <w:rFonts w:ascii="Book Antiqua" w:hAnsi="Book Antiqua"/>
          <w:b/>
          <w:bCs/>
          <w:color w:val="4F81BD" w:themeColor="accent1"/>
          <w:sz w:val="22"/>
          <w:szCs w:val="22"/>
          <w:lang w:val="en-NZ"/>
        </w:rPr>
        <w:fldChar w:fldCharType="separate"/>
      </w:r>
      <w:r w:rsidRPr="00961CDE">
        <w:rPr>
          <w:rFonts w:ascii="Book Antiqua" w:hAnsi="Book Antiqua"/>
          <w:b/>
          <w:bCs/>
          <w:color w:val="4F81BD" w:themeColor="accent1"/>
          <w:sz w:val="22"/>
          <w:szCs w:val="22"/>
          <w:lang w:val="en-NZ"/>
        </w:rPr>
        <w:t>Royal Commission of Inquiry into the historical abuse of children in state care</w:t>
      </w:r>
    </w:p>
    <w:p w14:paraId="0BF8D4EC" w14:textId="18F1087B" w:rsidR="00961CDE" w:rsidRPr="00961CDE" w:rsidRDefault="00961CDE" w:rsidP="00A661A5">
      <w:pPr>
        <w:tabs>
          <w:tab w:val="left" w:leader="dot" w:pos="4395"/>
          <w:tab w:val="left" w:pos="5103"/>
        </w:tabs>
        <w:spacing w:line="276" w:lineRule="auto"/>
        <w:rPr>
          <w:rFonts w:ascii="Book Antiqua" w:hAnsi="Book Antiqua"/>
          <w:sz w:val="22"/>
          <w:szCs w:val="22"/>
          <w:lang w:val="en-NZ"/>
        </w:rPr>
      </w:pPr>
      <w:r w:rsidRPr="00961CDE">
        <w:rPr>
          <w:rFonts w:ascii="Book Antiqua" w:hAnsi="Book Antiqua"/>
          <w:b/>
          <w:bCs/>
          <w:color w:val="4F81BD" w:themeColor="accent1"/>
          <w:sz w:val="22"/>
          <w:szCs w:val="22"/>
          <w:lang w:val="en-NZ"/>
        </w:rPr>
        <w:fldChar w:fldCharType="end"/>
      </w:r>
      <w:r w:rsidRPr="00961CDE">
        <w:rPr>
          <w:rStyle w:val="st"/>
          <w:rFonts w:ascii="Book Antiqua" w:hAnsi="Book Antiqua"/>
          <w:sz w:val="22"/>
          <w:szCs w:val="22"/>
        </w:rPr>
        <w:t xml:space="preserve">As noted in our last bulletin the Government has announced a Commission into the abuse of children in state care will focus </w:t>
      </w:r>
      <w:r w:rsidRPr="00961CDE">
        <w:rPr>
          <w:rStyle w:val="Emphasis"/>
          <w:rFonts w:ascii="Book Antiqua" w:hAnsi="Book Antiqua"/>
          <w:sz w:val="22"/>
          <w:szCs w:val="22"/>
        </w:rPr>
        <w:t>on</w:t>
      </w:r>
      <w:r w:rsidRPr="00961CDE">
        <w:rPr>
          <w:rStyle w:val="st"/>
          <w:rFonts w:ascii="Book Antiqua" w:hAnsi="Book Antiqua"/>
          <w:i/>
          <w:sz w:val="22"/>
          <w:szCs w:val="22"/>
        </w:rPr>
        <w:t xml:space="preserve"> </w:t>
      </w:r>
      <w:r w:rsidRPr="00961CDE">
        <w:rPr>
          <w:rStyle w:val="st"/>
          <w:rFonts w:ascii="Book Antiqua" w:hAnsi="Book Antiqua"/>
          <w:sz w:val="22"/>
          <w:szCs w:val="22"/>
        </w:rPr>
        <w:t xml:space="preserve">the victims, including any systemic bias based </w:t>
      </w:r>
      <w:r w:rsidRPr="00961CDE">
        <w:rPr>
          <w:rStyle w:val="Emphasis"/>
          <w:rFonts w:ascii="Book Antiqua" w:hAnsi="Book Antiqua"/>
          <w:sz w:val="22"/>
          <w:szCs w:val="22"/>
        </w:rPr>
        <w:t>on</w:t>
      </w:r>
      <w:r w:rsidRPr="00961CDE">
        <w:rPr>
          <w:rStyle w:val="st"/>
          <w:rFonts w:ascii="Book Antiqua" w:hAnsi="Book Antiqua"/>
          <w:sz w:val="22"/>
          <w:szCs w:val="22"/>
        </w:rPr>
        <w:t xml:space="preserve"> race, gender or sexual orientation, but it will not compensate individual victims.</w:t>
      </w:r>
      <w:r w:rsidRPr="00961CDE">
        <w:rPr>
          <w:rFonts w:ascii="Book Antiqua" w:hAnsi="Book Antiqua"/>
          <w:sz w:val="22"/>
          <w:szCs w:val="22"/>
        </w:rPr>
        <w:t xml:space="preserve"> Former Governor-General, Rt Hon Sir Anand Satyanand, will chair the Commission and Mervin Singham has been appointed Executive Director.</w:t>
      </w:r>
    </w:p>
    <w:p w14:paraId="44091E08" w14:textId="77777777" w:rsidR="003D763D" w:rsidRDefault="003D763D" w:rsidP="00A661A5">
      <w:pPr>
        <w:spacing w:line="276" w:lineRule="auto"/>
        <w:jc w:val="center"/>
        <w:rPr>
          <w:rFonts w:ascii="Book Antiqua" w:hAnsi="Book Antiqua"/>
          <w:b/>
          <w:sz w:val="28"/>
          <w:szCs w:val="28"/>
        </w:rPr>
      </w:pPr>
    </w:p>
    <w:p w14:paraId="02AA851B" w14:textId="77777777" w:rsidR="000C115F" w:rsidRDefault="000C115F" w:rsidP="00A661A5">
      <w:pPr>
        <w:spacing w:line="276" w:lineRule="auto"/>
        <w:jc w:val="center"/>
        <w:rPr>
          <w:rFonts w:ascii="Book Antiqua" w:hAnsi="Book Antiqua"/>
          <w:b/>
          <w:sz w:val="28"/>
          <w:szCs w:val="28"/>
        </w:rPr>
      </w:pPr>
    </w:p>
    <w:p w14:paraId="381E56AC" w14:textId="5698737A" w:rsidR="00BC5538" w:rsidRPr="00E644C2" w:rsidRDefault="0033481B" w:rsidP="00A661A5">
      <w:pPr>
        <w:spacing w:line="276" w:lineRule="auto"/>
        <w:jc w:val="center"/>
        <w:rPr>
          <w:rFonts w:ascii="Book Antiqua" w:hAnsi="Book Antiqua"/>
          <w:b/>
          <w:sz w:val="28"/>
          <w:szCs w:val="28"/>
        </w:rPr>
      </w:pPr>
      <w:r w:rsidRPr="00E644C2">
        <w:rPr>
          <w:rFonts w:ascii="Book Antiqua" w:hAnsi="Book Antiqua"/>
          <w:b/>
          <w:sz w:val="28"/>
          <w:szCs w:val="28"/>
        </w:rPr>
        <w:fldChar w:fldCharType="begin"/>
      </w:r>
      <w:r w:rsidRPr="00E644C2">
        <w:rPr>
          <w:rFonts w:ascii="Book Antiqua" w:hAnsi="Book Antiqua"/>
          <w:b/>
          <w:sz w:val="28"/>
          <w:szCs w:val="28"/>
        </w:rPr>
        <w:instrText xml:space="preserve"> REF _Ref482571278 \h  \* MERGEFORMAT </w:instrText>
      </w:r>
      <w:r w:rsidRPr="00E644C2">
        <w:rPr>
          <w:rFonts w:ascii="Book Antiqua" w:hAnsi="Book Antiqua"/>
          <w:b/>
          <w:sz w:val="28"/>
          <w:szCs w:val="28"/>
        </w:rPr>
      </w:r>
      <w:r w:rsidRPr="00E644C2">
        <w:rPr>
          <w:rFonts w:ascii="Book Antiqua" w:hAnsi="Book Antiqua"/>
          <w:b/>
          <w:sz w:val="28"/>
          <w:szCs w:val="28"/>
        </w:rPr>
        <w:fldChar w:fldCharType="separate"/>
      </w:r>
      <w:r w:rsidR="00B04082" w:rsidRPr="00B04082">
        <w:rPr>
          <w:rFonts w:ascii="Book Antiqua" w:hAnsi="Book Antiqua"/>
          <w:b/>
          <w:sz w:val="28"/>
          <w:szCs w:val="28"/>
        </w:rPr>
        <w:t>International update</w:t>
      </w:r>
      <w:r w:rsidRPr="00E644C2">
        <w:rPr>
          <w:rFonts w:ascii="Book Antiqua" w:hAnsi="Book Antiqua"/>
          <w:b/>
          <w:sz w:val="28"/>
          <w:szCs w:val="28"/>
        </w:rPr>
        <w:fldChar w:fldCharType="end"/>
      </w:r>
    </w:p>
    <w:p w14:paraId="7EEFD6C1" w14:textId="57030C39" w:rsidR="00E222D5" w:rsidRPr="00110B5D" w:rsidRDefault="0073158B" w:rsidP="00A661A5">
      <w:pPr>
        <w:spacing w:line="276" w:lineRule="auto"/>
        <w:jc w:val="center"/>
        <w:rPr>
          <w:rFonts w:ascii="Book Antiqua" w:hAnsi="Book Antiqua"/>
          <w:szCs w:val="28"/>
          <w:lang w:val="en-NZ"/>
        </w:rPr>
        <w:sectPr w:rsidR="00E222D5" w:rsidRPr="00110B5D" w:rsidSect="00AB3D1C">
          <w:type w:val="continuous"/>
          <w:pgSz w:w="11906" w:h="16838"/>
          <w:pgMar w:top="720" w:right="720" w:bottom="720" w:left="720" w:header="708" w:footer="708" w:gutter="0"/>
          <w:cols w:space="708"/>
          <w:docGrid w:linePitch="360"/>
        </w:sectPr>
      </w:pPr>
      <w:r w:rsidRPr="00E6489B">
        <w:rPr>
          <w:rFonts w:ascii="Book Antiqua" w:hAnsi="Book Antiqua"/>
          <w:szCs w:val="28"/>
          <w:lang w:val="en-NZ"/>
        </w:rPr>
        <w:t xml:space="preserve">(click </w:t>
      </w:r>
      <w:r w:rsidR="00962EC6">
        <w:rPr>
          <w:rFonts w:ascii="Book Antiqua" w:hAnsi="Book Antiqua"/>
          <w:szCs w:val="28"/>
          <w:lang w:val="en-NZ"/>
        </w:rPr>
        <w:t xml:space="preserve">above </w:t>
      </w:r>
      <w:r w:rsidR="007700E3">
        <w:rPr>
          <w:rFonts w:ascii="Book Antiqua" w:hAnsi="Book Antiqua"/>
          <w:szCs w:val="28"/>
          <w:lang w:val="en-NZ"/>
        </w:rPr>
        <w:t>for full story)</w:t>
      </w:r>
    </w:p>
    <w:p w14:paraId="14729C2A" w14:textId="77777777" w:rsidR="00F02E32" w:rsidRPr="00976E08" w:rsidRDefault="00F02E32" w:rsidP="00A661A5">
      <w:pPr>
        <w:spacing w:line="276" w:lineRule="auto"/>
        <w:rPr>
          <w:rFonts w:ascii="Book Antiqua" w:hAnsi="Book Antiqua" w:cstheme="majorHAnsi"/>
          <w:lang w:val="en-NZ"/>
        </w:rPr>
        <w:sectPr w:rsidR="00F02E32" w:rsidRPr="00976E08" w:rsidSect="001A255E">
          <w:type w:val="continuous"/>
          <w:pgSz w:w="11906" w:h="16838"/>
          <w:pgMar w:top="720" w:right="720" w:bottom="720" w:left="720" w:header="708" w:footer="708" w:gutter="0"/>
          <w:cols w:space="708"/>
          <w:docGrid w:linePitch="360"/>
        </w:sectPr>
      </w:pPr>
    </w:p>
    <w:p w14:paraId="07BC4CEF" w14:textId="5DE0220F" w:rsidR="00961CDE" w:rsidRPr="00961CDE" w:rsidRDefault="00961CDE" w:rsidP="00A661A5">
      <w:pPr>
        <w:pStyle w:val="NormalWeb"/>
        <w:spacing w:line="276" w:lineRule="auto"/>
        <w:rPr>
          <w:rFonts w:ascii="Book Antiqua" w:hAnsi="Book Antiqua"/>
          <w:b/>
          <w:sz w:val="22"/>
          <w:szCs w:val="22"/>
        </w:rPr>
      </w:pPr>
      <w:r w:rsidRPr="00961CDE">
        <w:rPr>
          <w:rFonts w:ascii="Book Antiqua" w:eastAsia="Times" w:hAnsi="Book Antiqua"/>
          <w:b/>
          <w:bCs/>
          <w:color w:val="4F81BD" w:themeColor="accent1"/>
          <w:sz w:val="22"/>
          <w:szCs w:val="22"/>
          <w:lang w:eastAsia="en-US"/>
        </w:rPr>
        <w:t>Examination on New Zealand’s performance under ICESCR</w:t>
      </w:r>
      <w:r>
        <w:rPr>
          <w:rFonts w:ascii="Book Antiqua" w:hAnsi="Book Antiqua"/>
          <w:b/>
          <w:sz w:val="22"/>
          <w:szCs w:val="22"/>
        </w:rPr>
        <w:br/>
      </w:r>
      <w:r w:rsidRPr="00961CDE">
        <w:rPr>
          <w:rFonts w:ascii="Book Antiqua" w:hAnsi="Book Antiqua"/>
          <w:sz w:val="22"/>
          <w:szCs w:val="22"/>
        </w:rPr>
        <w:t xml:space="preserve">The New Zealand Government submitted their </w:t>
      </w:r>
      <w:hyperlink r:id="rId10" w:history="1">
        <w:r w:rsidRPr="00961CDE">
          <w:rPr>
            <w:rStyle w:val="Hyperlink"/>
            <w:rFonts w:ascii="Book Antiqua" w:hAnsi="Book Antiqua"/>
            <w:sz w:val="22"/>
            <w:szCs w:val="22"/>
          </w:rPr>
          <w:t>report</w:t>
        </w:r>
      </w:hyperlink>
      <w:r w:rsidRPr="00961CDE">
        <w:rPr>
          <w:rFonts w:ascii="Book Antiqua" w:hAnsi="Book Antiqua"/>
          <w:sz w:val="22"/>
          <w:szCs w:val="22"/>
        </w:rPr>
        <w:t xml:space="preserve"> to the ICESCR Committee in May 2017. The examination was scheduled for March 2018. </w:t>
      </w:r>
    </w:p>
    <w:p w14:paraId="7E75E0FF" w14:textId="5B6435BA" w:rsidR="00961CDE" w:rsidRPr="00961CDE" w:rsidRDefault="00961CDE" w:rsidP="00A661A5">
      <w:pPr>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t>List of Issues – CRPD</w:t>
      </w:r>
    </w:p>
    <w:p w14:paraId="01682C1D" w14:textId="00D820FB" w:rsidR="00B94ABA" w:rsidRPr="00961CDE" w:rsidRDefault="00961CDE" w:rsidP="00A661A5">
      <w:pPr>
        <w:spacing w:line="276" w:lineRule="auto"/>
        <w:rPr>
          <w:rFonts w:ascii="Book Antiqua" w:hAnsi="Book Antiqua" w:cstheme="majorHAnsi"/>
          <w:sz w:val="22"/>
          <w:szCs w:val="22"/>
          <w:lang w:val="en-NZ"/>
        </w:rPr>
        <w:sectPr w:rsidR="00B94ABA" w:rsidRPr="00961CDE" w:rsidSect="00E222D5">
          <w:type w:val="continuous"/>
          <w:pgSz w:w="11906" w:h="16838"/>
          <w:pgMar w:top="720" w:right="720" w:bottom="720" w:left="720" w:header="708" w:footer="708" w:gutter="0"/>
          <w:cols w:space="708"/>
          <w:docGrid w:linePitch="360"/>
        </w:sectPr>
      </w:pPr>
      <w:r w:rsidRPr="00961CDE">
        <w:rPr>
          <w:rFonts w:ascii="Book Antiqua" w:hAnsi="Book Antiqua"/>
          <w:sz w:val="22"/>
          <w:szCs w:val="22"/>
        </w:rPr>
        <w:t xml:space="preserve">The Committee on the Rights of Persons with Disabilities has released the list of issues for New Zealand which will form the basis of the examination that is likely to take place in 2019. The list can be found at </w:t>
      </w:r>
      <w:hyperlink r:id="rId11" w:history="1">
        <w:r w:rsidRPr="00961CDE">
          <w:rPr>
            <w:rStyle w:val="Hyperlink"/>
            <w:rFonts w:ascii="Book Antiqua" w:hAnsi="Book Antiqua"/>
            <w:sz w:val="22"/>
            <w:szCs w:val="22"/>
          </w:rPr>
          <w:t>http://tbinternet.ohchr.org/layouts/treatybodyexternal</w:t>
        </w:r>
      </w:hyperlink>
      <w:r w:rsidRPr="00961CDE">
        <w:rPr>
          <w:rFonts w:ascii="Book Antiqua" w:hAnsi="Book Antiqua"/>
          <w:sz w:val="22"/>
          <w:szCs w:val="22"/>
        </w:rPr>
        <w:t>.</w:t>
      </w:r>
    </w:p>
    <w:p w14:paraId="14710C0F" w14:textId="77777777" w:rsidR="00AC740E" w:rsidRDefault="00AC740E" w:rsidP="00A661A5">
      <w:pPr>
        <w:spacing w:line="276" w:lineRule="auto"/>
        <w:rPr>
          <w:rFonts w:ascii="Book Antiqua" w:hAnsi="Book Antiqua" w:cstheme="majorHAnsi"/>
          <w:lang w:val="en-NZ"/>
        </w:rPr>
      </w:pPr>
    </w:p>
    <w:p w14:paraId="7A87889A" w14:textId="77777777" w:rsidR="00961CDE" w:rsidRDefault="00961CDE" w:rsidP="00A661A5">
      <w:pPr>
        <w:spacing w:line="276" w:lineRule="auto"/>
        <w:rPr>
          <w:rFonts w:ascii="Book Antiqua" w:hAnsi="Book Antiqua" w:cstheme="majorHAnsi"/>
          <w:lang w:val="en-NZ"/>
        </w:rPr>
      </w:pPr>
    </w:p>
    <w:p w14:paraId="3C907AB9" w14:textId="77777777" w:rsidR="00961CDE" w:rsidRDefault="00961CDE" w:rsidP="00A661A5">
      <w:pPr>
        <w:spacing w:line="276" w:lineRule="auto"/>
        <w:rPr>
          <w:rFonts w:ascii="Book Antiqua" w:hAnsi="Book Antiqua" w:cstheme="majorHAnsi"/>
          <w:lang w:val="en-NZ"/>
        </w:rPr>
      </w:pPr>
    </w:p>
    <w:p w14:paraId="0DC0F1F0" w14:textId="77777777" w:rsidR="00961CDE" w:rsidRDefault="00961CDE" w:rsidP="00A661A5">
      <w:pPr>
        <w:spacing w:line="276" w:lineRule="auto"/>
        <w:rPr>
          <w:rFonts w:ascii="Book Antiqua" w:hAnsi="Book Antiqua" w:cstheme="majorHAnsi"/>
          <w:lang w:val="en-NZ"/>
        </w:rPr>
      </w:pPr>
    </w:p>
    <w:p w14:paraId="3E0E38CA" w14:textId="77777777" w:rsidR="00961CDE" w:rsidRDefault="00961CDE" w:rsidP="00A661A5">
      <w:pPr>
        <w:spacing w:line="276" w:lineRule="auto"/>
        <w:rPr>
          <w:rFonts w:ascii="Book Antiqua" w:hAnsi="Book Antiqua" w:cstheme="majorHAnsi"/>
          <w:lang w:val="en-NZ"/>
        </w:rPr>
      </w:pPr>
    </w:p>
    <w:p w14:paraId="42A5647D" w14:textId="77777777" w:rsidR="00961CDE" w:rsidRDefault="00961CDE" w:rsidP="00A661A5">
      <w:pPr>
        <w:spacing w:line="276" w:lineRule="auto"/>
        <w:rPr>
          <w:rFonts w:ascii="Book Antiqua" w:hAnsi="Book Antiqua" w:cstheme="majorHAnsi"/>
          <w:lang w:val="en-NZ"/>
        </w:rPr>
      </w:pPr>
    </w:p>
    <w:p w14:paraId="5E0CF7B5" w14:textId="77777777" w:rsidR="00961CDE" w:rsidRPr="00B00174" w:rsidRDefault="00961CDE" w:rsidP="00A661A5">
      <w:pPr>
        <w:spacing w:line="276" w:lineRule="auto"/>
        <w:rPr>
          <w:rFonts w:ascii="Book Antiqua" w:hAnsi="Book Antiqua" w:cstheme="majorHAnsi"/>
          <w:lang w:val="en-NZ"/>
        </w:rPr>
      </w:pPr>
    </w:p>
    <w:p w14:paraId="4FE865C7" w14:textId="685C7520" w:rsidR="00AF4AE0" w:rsidRPr="004A46F7" w:rsidRDefault="0033481B" w:rsidP="00A661A5">
      <w:pPr>
        <w:spacing w:line="276" w:lineRule="auto"/>
        <w:jc w:val="center"/>
        <w:rPr>
          <w:rFonts w:ascii="Book Antiqua" w:hAnsi="Book Antiqua" w:cstheme="majorHAnsi"/>
          <w:b/>
          <w:sz w:val="28"/>
          <w:szCs w:val="28"/>
          <w:lang w:val="en-NZ"/>
        </w:rPr>
      </w:pPr>
      <w:r w:rsidRPr="004A46F7">
        <w:rPr>
          <w:rFonts w:ascii="Book Antiqua" w:hAnsi="Book Antiqua"/>
          <w:b/>
          <w:sz w:val="28"/>
          <w:szCs w:val="28"/>
        </w:rPr>
        <w:fldChar w:fldCharType="begin"/>
      </w:r>
      <w:r w:rsidRPr="004A46F7">
        <w:rPr>
          <w:rFonts w:ascii="Book Antiqua" w:hAnsi="Book Antiqua"/>
          <w:b/>
          <w:sz w:val="28"/>
          <w:szCs w:val="28"/>
        </w:rPr>
        <w:instrText xml:space="preserve"> REF _Ref482571288 \h  \* MERGEFORMAT </w:instrText>
      </w:r>
      <w:r w:rsidRPr="004A46F7">
        <w:rPr>
          <w:rFonts w:ascii="Book Antiqua" w:hAnsi="Book Antiqua"/>
          <w:b/>
          <w:sz w:val="28"/>
          <w:szCs w:val="28"/>
        </w:rPr>
      </w:r>
      <w:r w:rsidRPr="004A46F7">
        <w:rPr>
          <w:rFonts w:ascii="Book Antiqua" w:hAnsi="Book Antiqua"/>
          <w:b/>
          <w:sz w:val="28"/>
          <w:szCs w:val="28"/>
        </w:rPr>
        <w:fldChar w:fldCharType="separate"/>
      </w:r>
      <w:r w:rsidR="00B04082" w:rsidRPr="00B04082">
        <w:rPr>
          <w:rFonts w:ascii="Book Antiqua" w:hAnsi="Book Antiqua"/>
          <w:b/>
          <w:sz w:val="28"/>
          <w:szCs w:val="28"/>
        </w:rPr>
        <w:t>Recent cases</w:t>
      </w:r>
      <w:r w:rsidRPr="004A46F7">
        <w:rPr>
          <w:rFonts w:ascii="Book Antiqua" w:hAnsi="Book Antiqua"/>
          <w:b/>
          <w:sz w:val="28"/>
          <w:szCs w:val="28"/>
        </w:rPr>
        <w:fldChar w:fldCharType="end"/>
      </w:r>
    </w:p>
    <w:p w14:paraId="21956FD4" w14:textId="77777777" w:rsidR="0073158B" w:rsidRPr="004258CC" w:rsidRDefault="0073158B" w:rsidP="00A661A5">
      <w:pPr>
        <w:spacing w:line="276" w:lineRule="auto"/>
        <w:jc w:val="center"/>
        <w:rPr>
          <w:rFonts w:ascii="Book Antiqua" w:hAnsi="Book Antiqua"/>
          <w:lang w:val="en-NZ"/>
        </w:rPr>
      </w:pPr>
      <w:r w:rsidRPr="004258CC">
        <w:rPr>
          <w:rFonts w:ascii="Book Antiqua" w:hAnsi="Book Antiqua"/>
          <w:lang w:val="en-NZ"/>
        </w:rPr>
        <w:t xml:space="preserve">(click </w:t>
      </w:r>
      <w:r w:rsidR="00940C6B" w:rsidRPr="004258CC">
        <w:rPr>
          <w:rFonts w:ascii="Book Antiqua" w:hAnsi="Book Antiqua"/>
          <w:lang w:val="en-NZ"/>
        </w:rPr>
        <w:t xml:space="preserve">titles for </w:t>
      </w:r>
      <w:r w:rsidRPr="004258CC">
        <w:rPr>
          <w:rFonts w:ascii="Book Antiqua" w:hAnsi="Book Antiqua"/>
          <w:lang w:val="en-NZ"/>
        </w:rPr>
        <w:t>full story)</w:t>
      </w:r>
    </w:p>
    <w:p w14:paraId="7CEFE2CA" w14:textId="77777777" w:rsidR="004D1C83" w:rsidRPr="0073158B" w:rsidRDefault="004D1C83" w:rsidP="00A661A5">
      <w:pPr>
        <w:spacing w:line="276" w:lineRule="auto"/>
        <w:jc w:val="center"/>
        <w:rPr>
          <w:lang w:val="en-NZ"/>
        </w:rPr>
      </w:pPr>
    </w:p>
    <w:p w14:paraId="19DC6A3A" w14:textId="6E6AB4A3" w:rsidR="00E37EB1" w:rsidRPr="002C3B5B" w:rsidRDefault="002C3B5B" w:rsidP="00A661A5">
      <w:pPr>
        <w:spacing w:line="276" w:lineRule="auto"/>
        <w:rPr>
          <w:rFonts w:ascii="Book Antiqua" w:hAnsi="Book Antiqua"/>
          <w:b/>
          <w:color w:val="4F81BD" w:themeColor="accent1"/>
          <w:sz w:val="22"/>
          <w:szCs w:val="22"/>
          <w:lang w:val="en-NZ" w:eastAsia="en-NZ"/>
        </w:rPr>
      </w:pPr>
      <w:r w:rsidRPr="002C3B5B">
        <w:rPr>
          <w:rFonts w:ascii="Book Antiqua" w:hAnsi="Book Antiqua"/>
          <w:b/>
          <w:color w:val="4F81BD" w:themeColor="accent1"/>
          <w:sz w:val="22"/>
          <w:szCs w:val="22"/>
          <w:lang w:val="en-NZ" w:eastAsia="en-NZ"/>
        </w:rPr>
        <w:fldChar w:fldCharType="begin"/>
      </w:r>
      <w:r w:rsidRPr="002C3B5B">
        <w:rPr>
          <w:rFonts w:ascii="Book Antiqua" w:hAnsi="Book Antiqua"/>
          <w:b/>
          <w:color w:val="4F81BD" w:themeColor="accent1"/>
          <w:sz w:val="22"/>
          <w:szCs w:val="22"/>
          <w:lang w:val="en-NZ" w:eastAsia="en-NZ"/>
        </w:rPr>
        <w:instrText xml:space="preserve"> HYPERLINK  \l "_S_v_Attorney-General" </w:instrText>
      </w:r>
      <w:r w:rsidRPr="002C3B5B">
        <w:rPr>
          <w:rFonts w:ascii="Book Antiqua" w:hAnsi="Book Antiqua"/>
          <w:b/>
          <w:color w:val="4F81BD" w:themeColor="accent1"/>
          <w:sz w:val="22"/>
          <w:szCs w:val="22"/>
          <w:lang w:val="en-NZ" w:eastAsia="en-NZ"/>
        </w:rPr>
        <w:fldChar w:fldCharType="separate"/>
      </w:r>
      <w:r w:rsidR="00826247" w:rsidRPr="00826247">
        <w:rPr>
          <w:rFonts w:ascii="Book Antiqua" w:hAnsi="Book Antiqua"/>
          <w:b/>
          <w:i/>
          <w:color w:val="4F81BD" w:themeColor="accent1"/>
          <w:sz w:val="22"/>
          <w:szCs w:val="22"/>
          <w:lang w:val="en-NZ" w:eastAsia="en-NZ"/>
        </w:rPr>
        <w:t xml:space="preserve">Dotcom v Crown Law Office </w:t>
      </w:r>
      <w:r w:rsidR="00826247" w:rsidRPr="00826247">
        <w:rPr>
          <w:rFonts w:ascii="Book Antiqua" w:hAnsi="Book Antiqua"/>
          <w:b/>
          <w:color w:val="4F81BD" w:themeColor="accent1"/>
          <w:sz w:val="22"/>
          <w:szCs w:val="22"/>
          <w:lang w:val="en-NZ" w:eastAsia="en-NZ"/>
        </w:rPr>
        <w:t>[2018] NZHRRT 7</w:t>
      </w:r>
    </w:p>
    <w:p w14:paraId="37E3FCE0" w14:textId="030134E8" w:rsidR="00450D76" w:rsidRDefault="002C3B5B" w:rsidP="00A661A5">
      <w:pPr>
        <w:spacing w:line="276" w:lineRule="auto"/>
        <w:rPr>
          <w:rFonts w:ascii="Book Antiqua" w:hAnsi="Book Antiqua" w:cstheme="majorHAnsi"/>
          <w:b/>
          <w:sz w:val="22"/>
          <w:lang w:val="en-NZ"/>
        </w:rPr>
      </w:pPr>
      <w:r w:rsidRPr="002C3B5B">
        <w:rPr>
          <w:rFonts w:ascii="Book Antiqua" w:hAnsi="Book Antiqua"/>
          <w:b/>
          <w:color w:val="4F81BD" w:themeColor="accent1"/>
          <w:sz w:val="22"/>
          <w:szCs w:val="22"/>
          <w:lang w:val="en-NZ" w:eastAsia="en-NZ"/>
        </w:rPr>
        <w:fldChar w:fldCharType="end"/>
      </w:r>
      <w:r w:rsidR="00A24B36" w:rsidRPr="00411D30">
        <w:rPr>
          <w:rFonts w:ascii="Book Antiqua" w:hAnsi="Book Antiqua" w:cstheme="majorHAnsi"/>
          <w:sz w:val="22"/>
        </w:rPr>
        <w:t xml:space="preserve">This case </w:t>
      </w:r>
      <w:r w:rsidR="004B1171" w:rsidRPr="00E37EB1">
        <w:rPr>
          <w:rFonts w:ascii="Book Antiqua" w:hAnsi="Book Antiqua" w:cstheme="majorHAnsi"/>
          <w:sz w:val="22"/>
        </w:rPr>
        <w:t xml:space="preserve">examines </w:t>
      </w:r>
      <w:r w:rsidR="002151F6">
        <w:rPr>
          <w:rFonts w:ascii="Book Antiqua" w:hAnsi="Book Antiqua" w:cstheme="majorHAnsi"/>
          <w:sz w:val="22"/>
          <w:lang w:val="en-NZ"/>
        </w:rPr>
        <w:t xml:space="preserve">the </w:t>
      </w:r>
      <w:r w:rsidR="002151F6" w:rsidRPr="002151F6">
        <w:rPr>
          <w:rFonts w:ascii="Book Antiqua" w:hAnsi="Book Antiqua" w:cstheme="majorHAnsi"/>
          <w:sz w:val="22"/>
          <w:lang w:val="en-NZ"/>
        </w:rPr>
        <w:t>right to information</w:t>
      </w:r>
    </w:p>
    <w:p w14:paraId="29EEC27C" w14:textId="77777777" w:rsidR="002C3B5B" w:rsidRDefault="002C3B5B" w:rsidP="00A661A5">
      <w:pPr>
        <w:spacing w:line="276" w:lineRule="auto"/>
        <w:rPr>
          <w:rFonts w:ascii="Book Antiqua" w:hAnsi="Book Antiqua" w:cstheme="majorHAnsi"/>
          <w:b/>
          <w:sz w:val="22"/>
          <w:lang w:val="en-NZ"/>
        </w:rPr>
      </w:pPr>
    </w:p>
    <w:p w14:paraId="486BEC44" w14:textId="7485B230" w:rsidR="002C3B5B" w:rsidRPr="002C3B5B" w:rsidRDefault="002C3B5B" w:rsidP="00A661A5">
      <w:pPr>
        <w:spacing w:line="276" w:lineRule="auto"/>
        <w:rPr>
          <w:rStyle w:val="Hyperlink"/>
          <w:rFonts w:ascii="Book Antiqua" w:hAnsi="Book Antiqua"/>
          <w:b/>
          <w:i/>
          <w:sz w:val="22"/>
          <w:szCs w:val="22"/>
          <w:lang w:val="en-NZ" w:eastAsia="en-NZ"/>
        </w:rPr>
      </w:pPr>
      <w:r w:rsidRPr="002C3B5B">
        <w:rPr>
          <w:rFonts w:ascii="Book Antiqua" w:hAnsi="Book Antiqua"/>
          <w:b/>
          <w:i/>
          <w:color w:val="4F81BD" w:themeColor="accent1"/>
          <w:sz w:val="22"/>
          <w:szCs w:val="22"/>
          <w:lang w:val="en-NZ" w:eastAsia="en-NZ"/>
        </w:rPr>
        <w:fldChar w:fldCharType="begin"/>
      </w:r>
      <w:r w:rsidR="00322881">
        <w:rPr>
          <w:rFonts w:ascii="Book Antiqua" w:hAnsi="Book Antiqua"/>
          <w:b/>
          <w:i/>
          <w:color w:val="4F81BD" w:themeColor="accent1"/>
          <w:sz w:val="22"/>
          <w:szCs w:val="22"/>
          <w:lang w:val="en-NZ" w:eastAsia="en-NZ"/>
        </w:rPr>
        <w:instrText>HYPERLINK  \l "_Wall_v_Fairfax"</w:instrText>
      </w:r>
      <w:r w:rsidRPr="002C3B5B">
        <w:rPr>
          <w:rFonts w:ascii="Book Antiqua" w:hAnsi="Book Antiqua"/>
          <w:b/>
          <w:i/>
          <w:color w:val="4F81BD" w:themeColor="accent1"/>
          <w:sz w:val="22"/>
          <w:szCs w:val="22"/>
          <w:lang w:val="en-NZ" w:eastAsia="en-NZ"/>
        </w:rPr>
        <w:fldChar w:fldCharType="separate"/>
      </w:r>
      <w:r w:rsidR="00322881" w:rsidRPr="00322881">
        <w:rPr>
          <w:rFonts w:ascii="Book Antiqua" w:hAnsi="Book Antiqua"/>
          <w:b/>
          <w:i/>
          <w:color w:val="4F81BD" w:themeColor="accent1"/>
          <w:sz w:val="22"/>
          <w:szCs w:val="22"/>
          <w:lang w:val="en-NZ" w:eastAsia="en-NZ"/>
        </w:rPr>
        <w:t xml:space="preserve">Wall v Fairfax New Zealand Ltd </w:t>
      </w:r>
      <w:r w:rsidR="00322881" w:rsidRPr="00322881">
        <w:rPr>
          <w:rFonts w:ascii="Book Antiqua" w:hAnsi="Book Antiqua"/>
          <w:b/>
          <w:color w:val="4F81BD" w:themeColor="accent1"/>
          <w:sz w:val="22"/>
          <w:szCs w:val="22"/>
          <w:lang w:val="en-NZ" w:eastAsia="en-NZ"/>
        </w:rPr>
        <w:t xml:space="preserve">[2018] NZHC 104 </w:t>
      </w:r>
      <w:r w:rsidRPr="00322881">
        <w:rPr>
          <w:rStyle w:val="Hyperlink"/>
          <w:rFonts w:ascii="Book Antiqua" w:hAnsi="Book Antiqua"/>
          <w:b/>
          <w:sz w:val="22"/>
          <w:szCs w:val="22"/>
          <w:lang w:val="en-NZ" w:eastAsia="en-NZ"/>
        </w:rPr>
        <w:t xml:space="preserve"> </w:t>
      </w:r>
    </w:p>
    <w:p w14:paraId="5335FC31" w14:textId="1DAF8491" w:rsidR="002C3B5B" w:rsidRPr="002C3B5B" w:rsidRDefault="002C3B5B" w:rsidP="00A661A5">
      <w:pPr>
        <w:spacing w:line="276" w:lineRule="auto"/>
        <w:rPr>
          <w:rFonts w:ascii="Book Antiqua" w:hAnsi="Book Antiqua"/>
          <w:sz w:val="22"/>
          <w:lang w:val="en-NZ" w:eastAsia="en-NZ"/>
        </w:rPr>
      </w:pPr>
      <w:r w:rsidRPr="002C3B5B">
        <w:rPr>
          <w:rFonts w:ascii="Book Antiqua" w:hAnsi="Book Antiqua"/>
          <w:b/>
          <w:i/>
          <w:color w:val="4F81BD" w:themeColor="accent1"/>
          <w:sz w:val="22"/>
          <w:szCs w:val="22"/>
          <w:lang w:val="en-NZ" w:eastAsia="en-NZ"/>
        </w:rPr>
        <w:fldChar w:fldCharType="end"/>
      </w:r>
      <w:r w:rsidRPr="001B2A3F">
        <w:rPr>
          <w:rFonts w:ascii="Book Antiqua" w:hAnsi="Book Antiqua"/>
          <w:sz w:val="22"/>
          <w:lang w:eastAsia="en-NZ"/>
        </w:rPr>
        <w:t xml:space="preserve">This case </w:t>
      </w:r>
      <w:r>
        <w:rPr>
          <w:rFonts w:ascii="Book Antiqua" w:hAnsi="Book Antiqua"/>
          <w:sz w:val="22"/>
          <w:lang w:eastAsia="en-NZ"/>
        </w:rPr>
        <w:t xml:space="preserve">examines </w:t>
      </w:r>
      <w:r w:rsidR="00322881" w:rsidRPr="00322881">
        <w:rPr>
          <w:rFonts w:ascii="Book Antiqua" w:hAnsi="Book Antiqua"/>
          <w:sz w:val="22"/>
          <w:lang w:eastAsia="en-NZ"/>
        </w:rPr>
        <w:t>the right to freedom of expression and when expression amounts to exciting racial disharmony</w:t>
      </w:r>
      <w:r w:rsidRPr="00DD4470">
        <w:rPr>
          <w:rFonts w:ascii="Times New Roman" w:hAnsi="Times New Roman"/>
          <w:b/>
        </w:rPr>
        <w:t xml:space="preserve"> </w:t>
      </w:r>
    </w:p>
    <w:p w14:paraId="4068F3FE" w14:textId="77777777" w:rsidR="006F524E" w:rsidRPr="002C3B5B" w:rsidRDefault="006F524E" w:rsidP="00A661A5">
      <w:pPr>
        <w:spacing w:line="276" w:lineRule="auto"/>
        <w:rPr>
          <w:rFonts w:ascii="Book Antiqua" w:hAnsi="Book Antiqua"/>
          <w:b/>
          <w:i/>
          <w:sz w:val="22"/>
          <w:szCs w:val="22"/>
        </w:rPr>
      </w:pPr>
    </w:p>
    <w:p w14:paraId="15653037" w14:textId="54564D57" w:rsidR="00E37EB1" w:rsidRPr="002C3B5B" w:rsidRDefault="002C3B5B" w:rsidP="00A661A5">
      <w:pPr>
        <w:spacing w:line="276" w:lineRule="auto"/>
        <w:rPr>
          <w:rFonts w:ascii="Book Antiqua" w:hAnsi="Book Antiqua"/>
          <w:b/>
          <w:color w:val="4F81BD" w:themeColor="accent1"/>
          <w:sz w:val="22"/>
          <w:szCs w:val="22"/>
          <w:lang w:val="en-NZ" w:eastAsia="en-NZ"/>
        </w:rPr>
      </w:pPr>
      <w:r w:rsidRPr="002C3B5B">
        <w:rPr>
          <w:rFonts w:ascii="Book Antiqua" w:hAnsi="Book Antiqua"/>
          <w:b/>
          <w:color w:val="4F81BD" w:themeColor="accent1"/>
          <w:sz w:val="22"/>
          <w:szCs w:val="22"/>
          <w:lang w:val="en-NZ" w:eastAsia="en-NZ"/>
        </w:rPr>
        <w:fldChar w:fldCharType="begin"/>
      </w:r>
      <w:r w:rsidRPr="002C3B5B">
        <w:rPr>
          <w:rFonts w:ascii="Book Antiqua" w:hAnsi="Book Antiqua"/>
          <w:b/>
          <w:color w:val="4F81BD" w:themeColor="accent1"/>
          <w:sz w:val="22"/>
          <w:szCs w:val="22"/>
          <w:lang w:val="en-NZ" w:eastAsia="en-NZ"/>
        </w:rPr>
        <w:instrText>HYPERLINK  \l "_Janet_Elsie_Lowe"</w:instrText>
      </w:r>
      <w:r w:rsidRPr="002C3B5B">
        <w:rPr>
          <w:rFonts w:ascii="Book Antiqua" w:hAnsi="Book Antiqua"/>
          <w:b/>
          <w:color w:val="4F81BD" w:themeColor="accent1"/>
          <w:sz w:val="22"/>
          <w:szCs w:val="22"/>
          <w:lang w:val="en-NZ" w:eastAsia="en-NZ"/>
        </w:rPr>
        <w:fldChar w:fldCharType="separate"/>
      </w:r>
      <w:r w:rsidR="00322881" w:rsidRPr="00322881">
        <w:rPr>
          <w:rFonts w:ascii="Book Antiqua" w:hAnsi="Book Antiqua"/>
          <w:b/>
          <w:i/>
          <w:color w:val="4F81BD" w:themeColor="accent1"/>
          <w:sz w:val="22"/>
          <w:szCs w:val="22"/>
          <w:lang w:val="en-NZ" w:eastAsia="en-NZ"/>
        </w:rPr>
        <w:t xml:space="preserve">Chamberlain v Minister of Health </w:t>
      </w:r>
      <w:r w:rsidR="00322881" w:rsidRPr="00322881">
        <w:rPr>
          <w:rFonts w:ascii="Book Antiqua" w:hAnsi="Book Antiqua"/>
          <w:b/>
          <w:color w:val="4F81BD" w:themeColor="accent1"/>
          <w:sz w:val="22"/>
          <w:szCs w:val="22"/>
          <w:lang w:val="en-NZ" w:eastAsia="en-NZ"/>
        </w:rPr>
        <w:t>[2017] NZHC 1821, [2017] NZAR 1271 [HC judgement]</w:t>
      </w:r>
      <w:r w:rsidR="00322881" w:rsidRPr="00322881">
        <w:rPr>
          <w:rFonts w:ascii="Book Antiqua" w:hAnsi="Book Antiqua"/>
          <w:b/>
          <w:i/>
          <w:color w:val="4F81BD" w:themeColor="accent1"/>
          <w:sz w:val="22"/>
          <w:szCs w:val="22"/>
          <w:lang w:val="en-NZ" w:eastAsia="en-NZ"/>
        </w:rPr>
        <w:t xml:space="preserve">; Chamberlain v Minister of Health </w:t>
      </w:r>
      <w:r w:rsidR="00322881" w:rsidRPr="00322881">
        <w:rPr>
          <w:rFonts w:ascii="Book Antiqua" w:hAnsi="Book Antiqua"/>
          <w:b/>
          <w:color w:val="4F81BD" w:themeColor="accent1"/>
          <w:sz w:val="22"/>
          <w:szCs w:val="22"/>
          <w:lang w:val="en-NZ" w:eastAsia="en-NZ"/>
        </w:rPr>
        <w:t>[2018] NZCA 8</w:t>
      </w:r>
    </w:p>
    <w:p w14:paraId="65F778C2" w14:textId="169368E4" w:rsidR="00E37EB1" w:rsidRPr="00E37EB1" w:rsidRDefault="002C3B5B" w:rsidP="00A661A5">
      <w:pPr>
        <w:spacing w:line="276" w:lineRule="auto"/>
        <w:rPr>
          <w:rFonts w:ascii="Book Antiqua" w:hAnsi="Book Antiqua"/>
          <w:b/>
          <w:sz w:val="22"/>
          <w:lang w:val="en-NZ" w:eastAsia="en-NZ"/>
        </w:rPr>
      </w:pPr>
      <w:r w:rsidRPr="002C3B5B">
        <w:rPr>
          <w:rFonts w:ascii="Book Antiqua" w:hAnsi="Book Antiqua"/>
          <w:b/>
          <w:color w:val="4F81BD" w:themeColor="accent1"/>
          <w:sz w:val="22"/>
          <w:szCs w:val="22"/>
          <w:lang w:val="en-NZ" w:eastAsia="en-NZ"/>
        </w:rPr>
        <w:fldChar w:fldCharType="end"/>
      </w:r>
      <w:r w:rsidR="000A0808" w:rsidRPr="005B096D">
        <w:rPr>
          <w:rFonts w:ascii="Book Antiqua" w:hAnsi="Book Antiqua"/>
          <w:sz w:val="22"/>
          <w:lang w:eastAsia="en-NZ"/>
        </w:rPr>
        <w:t xml:space="preserve">This case </w:t>
      </w:r>
      <w:r w:rsidR="00737A9D">
        <w:rPr>
          <w:rFonts w:ascii="Book Antiqua" w:hAnsi="Book Antiqua"/>
          <w:sz w:val="22"/>
          <w:lang w:eastAsia="en-NZ"/>
        </w:rPr>
        <w:t xml:space="preserve">examines </w:t>
      </w:r>
      <w:r w:rsidR="00322881" w:rsidRPr="00322881">
        <w:rPr>
          <w:rFonts w:ascii="Book Antiqua" w:hAnsi="Book Antiqua"/>
          <w:sz w:val="22"/>
          <w:lang w:eastAsia="en-NZ"/>
        </w:rPr>
        <w:t>the right of families to equal treatment when caring for their disabled relatives</w:t>
      </w:r>
    </w:p>
    <w:p w14:paraId="61E08EF4" w14:textId="77777777" w:rsidR="009359B9" w:rsidRPr="0069212E" w:rsidRDefault="009359B9" w:rsidP="00A661A5">
      <w:pPr>
        <w:spacing w:line="276" w:lineRule="auto"/>
        <w:rPr>
          <w:rFonts w:ascii="Book Antiqua" w:hAnsi="Book Antiqua"/>
          <w:sz w:val="22"/>
          <w:lang w:val="en-NZ" w:eastAsia="en-NZ"/>
        </w:rPr>
      </w:pPr>
    </w:p>
    <w:p w14:paraId="7ED916BB" w14:textId="1CDB1B82" w:rsidR="00E37EB1" w:rsidRPr="002C3B5B" w:rsidRDefault="002C3B5B" w:rsidP="00A661A5">
      <w:pPr>
        <w:spacing w:line="276" w:lineRule="auto"/>
        <w:rPr>
          <w:rFonts w:ascii="Book Antiqua" w:hAnsi="Book Antiqua"/>
          <w:b/>
          <w:color w:val="4F81BD" w:themeColor="accent1"/>
          <w:sz w:val="22"/>
          <w:szCs w:val="22"/>
          <w:lang w:val="en-NZ" w:eastAsia="en-NZ"/>
        </w:rPr>
      </w:pPr>
      <w:r w:rsidRPr="002C3B5B">
        <w:rPr>
          <w:rFonts w:ascii="Book Antiqua" w:hAnsi="Book Antiqua"/>
          <w:b/>
          <w:color w:val="4F81BD" w:themeColor="accent1"/>
          <w:sz w:val="22"/>
          <w:szCs w:val="22"/>
          <w:lang w:val="en-NZ" w:eastAsia="en-NZ"/>
        </w:rPr>
        <w:fldChar w:fldCharType="begin"/>
      </w:r>
      <w:r w:rsidRPr="002C3B5B">
        <w:rPr>
          <w:rFonts w:ascii="Book Antiqua" w:hAnsi="Book Antiqua"/>
          <w:b/>
          <w:color w:val="4F81BD" w:themeColor="accent1"/>
          <w:sz w:val="22"/>
          <w:szCs w:val="22"/>
          <w:lang w:val="en-NZ" w:eastAsia="en-NZ"/>
        </w:rPr>
        <w:instrText xml:space="preserve"> HYPERLINK  \l "_Brown_v_New" </w:instrText>
      </w:r>
      <w:r w:rsidRPr="002C3B5B">
        <w:rPr>
          <w:rFonts w:ascii="Book Antiqua" w:hAnsi="Book Antiqua"/>
          <w:b/>
          <w:color w:val="4F81BD" w:themeColor="accent1"/>
          <w:sz w:val="22"/>
          <w:szCs w:val="22"/>
          <w:lang w:val="en-NZ" w:eastAsia="en-NZ"/>
        </w:rPr>
        <w:fldChar w:fldCharType="separate"/>
      </w:r>
      <w:r w:rsidR="00322881" w:rsidRPr="00322881">
        <w:rPr>
          <w:rFonts w:ascii="Book Antiqua" w:hAnsi="Book Antiqua"/>
          <w:b/>
          <w:i/>
          <w:color w:val="4F81BD" w:themeColor="accent1"/>
          <w:sz w:val="22"/>
          <w:szCs w:val="22"/>
          <w:lang w:val="en-NZ" w:eastAsia="en-NZ"/>
        </w:rPr>
        <w:t xml:space="preserve">Chief Executive of the Department of Corrections v Shane Aaron Gardiner </w:t>
      </w:r>
      <w:r w:rsidR="00322881" w:rsidRPr="00322881">
        <w:rPr>
          <w:rFonts w:ascii="Book Antiqua" w:hAnsi="Book Antiqua"/>
          <w:b/>
          <w:color w:val="4F81BD" w:themeColor="accent1"/>
          <w:sz w:val="22"/>
          <w:szCs w:val="22"/>
          <w:lang w:val="en-NZ" w:eastAsia="en-NZ"/>
        </w:rPr>
        <w:t>[2017] NZCA</w:t>
      </w:r>
      <w:r w:rsidR="00E37EB1" w:rsidRPr="00322881">
        <w:rPr>
          <w:rFonts w:ascii="Book Antiqua" w:hAnsi="Book Antiqua"/>
          <w:b/>
          <w:color w:val="4F81BD" w:themeColor="accent1"/>
          <w:sz w:val="22"/>
          <w:szCs w:val="22"/>
          <w:lang w:val="en-NZ" w:eastAsia="en-NZ"/>
        </w:rPr>
        <w:t xml:space="preserve"> </w:t>
      </w:r>
    </w:p>
    <w:p w14:paraId="6949F9F2" w14:textId="59DB0EDC" w:rsidR="00E37EB1" w:rsidRPr="00E37EB1" w:rsidRDefault="002C3B5B" w:rsidP="00A661A5">
      <w:pPr>
        <w:spacing w:line="276" w:lineRule="auto"/>
        <w:rPr>
          <w:rFonts w:ascii="Book Antiqua" w:eastAsia="Times New Roman" w:hAnsi="Book Antiqua" w:cstheme="majorHAnsi"/>
          <w:b/>
          <w:sz w:val="22"/>
          <w:szCs w:val="24"/>
          <w:lang w:val="en-NZ" w:eastAsia="en-NZ"/>
        </w:rPr>
      </w:pPr>
      <w:r w:rsidRPr="002C3B5B">
        <w:rPr>
          <w:rFonts w:ascii="Book Antiqua" w:hAnsi="Book Antiqua"/>
          <w:b/>
          <w:color w:val="4F81BD" w:themeColor="accent1"/>
          <w:sz w:val="22"/>
          <w:szCs w:val="22"/>
          <w:lang w:val="en-NZ" w:eastAsia="en-NZ"/>
        </w:rPr>
        <w:fldChar w:fldCharType="end"/>
      </w:r>
      <w:r w:rsidR="003B066F">
        <w:rPr>
          <w:rFonts w:ascii="Book Antiqua" w:eastAsia="Times New Roman" w:hAnsi="Book Antiqua" w:cstheme="majorHAnsi"/>
          <w:sz w:val="22"/>
          <w:szCs w:val="24"/>
          <w:lang w:eastAsia="en-NZ"/>
        </w:rPr>
        <w:t xml:space="preserve">This case examines </w:t>
      </w:r>
      <w:r w:rsidR="00322881" w:rsidRPr="00322881">
        <w:rPr>
          <w:rFonts w:ascii="Book Antiqua" w:eastAsia="Times New Roman" w:hAnsi="Book Antiqua" w:cstheme="majorHAnsi"/>
          <w:sz w:val="22"/>
          <w:szCs w:val="24"/>
          <w:lang w:eastAsia="en-NZ"/>
        </w:rPr>
        <w:t>the right to liberty &amp; freedom from unlawful detention</w:t>
      </w:r>
    </w:p>
    <w:p w14:paraId="5606960D" w14:textId="77777777" w:rsidR="006F524E" w:rsidRDefault="006F524E" w:rsidP="00A661A5">
      <w:pPr>
        <w:spacing w:line="276" w:lineRule="auto"/>
        <w:rPr>
          <w:rFonts w:ascii="Book Antiqua" w:hAnsi="Book Antiqua"/>
          <w:color w:val="4F81BD" w:themeColor="accent1"/>
          <w:sz w:val="22"/>
          <w:szCs w:val="22"/>
          <w:lang w:eastAsia="en-NZ"/>
        </w:rPr>
      </w:pPr>
    </w:p>
    <w:p w14:paraId="55B74218" w14:textId="74AAB8D8" w:rsidR="00E37EB1" w:rsidRPr="002C3B5B" w:rsidRDefault="002C3B5B" w:rsidP="00A661A5">
      <w:pPr>
        <w:spacing w:line="276" w:lineRule="auto"/>
        <w:rPr>
          <w:rFonts w:ascii="Book Antiqua" w:hAnsi="Book Antiqua"/>
          <w:b/>
          <w:i/>
          <w:color w:val="4F81BD" w:themeColor="accent1"/>
          <w:sz w:val="22"/>
          <w:szCs w:val="22"/>
          <w:lang w:val="en-NZ" w:eastAsia="en-NZ"/>
        </w:rPr>
      </w:pPr>
      <w:r w:rsidRPr="002C3B5B">
        <w:rPr>
          <w:rFonts w:ascii="Book Antiqua" w:hAnsi="Book Antiqua"/>
          <w:b/>
          <w:i/>
          <w:color w:val="4F81BD" w:themeColor="accent1"/>
          <w:sz w:val="22"/>
          <w:szCs w:val="22"/>
          <w:lang w:val="en-NZ" w:eastAsia="en-NZ"/>
        </w:rPr>
        <w:fldChar w:fldCharType="begin"/>
      </w:r>
      <w:r w:rsidRPr="002C3B5B">
        <w:rPr>
          <w:rFonts w:ascii="Book Antiqua" w:hAnsi="Book Antiqua"/>
          <w:b/>
          <w:i/>
          <w:color w:val="4F81BD" w:themeColor="accent1"/>
          <w:sz w:val="22"/>
          <w:szCs w:val="22"/>
          <w:lang w:val="en-NZ" w:eastAsia="en-NZ"/>
        </w:rPr>
        <w:instrText xml:space="preserve"> HYPERLINK  \l "_Quake_Outcasts_v" </w:instrText>
      </w:r>
      <w:r w:rsidRPr="002C3B5B">
        <w:rPr>
          <w:rFonts w:ascii="Book Antiqua" w:hAnsi="Book Antiqua"/>
          <w:b/>
          <w:i/>
          <w:color w:val="4F81BD" w:themeColor="accent1"/>
          <w:sz w:val="22"/>
          <w:szCs w:val="22"/>
          <w:lang w:val="en-NZ" w:eastAsia="en-NZ"/>
        </w:rPr>
        <w:fldChar w:fldCharType="separate"/>
      </w:r>
      <w:r w:rsidR="00E4737A" w:rsidRPr="00E4737A">
        <w:rPr>
          <w:rFonts w:ascii="Book Antiqua" w:hAnsi="Book Antiqua"/>
          <w:b/>
          <w:i/>
          <w:color w:val="4F81BD" w:themeColor="accent1"/>
          <w:sz w:val="22"/>
          <w:szCs w:val="22"/>
          <w:lang w:val="en-NZ" w:eastAsia="en-NZ"/>
        </w:rPr>
        <w:t xml:space="preserve">Attorney-General on Behalf of the Department of Corrections v Smith </w:t>
      </w:r>
      <w:r w:rsidR="00E4737A" w:rsidRPr="00E4737A">
        <w:rPr>
          <w:rFonts w:ascii="Book Antiqua" w:hAnsi="Book Antiqua"/>
          <w:b/>
          <w:color w:val="4F81BD" w:themeColor="accent1"/>
          <w:sz w:val="22"/>
          <w:szCs w:val="22"/>
          <w:lang w:val="en-NZ" w:eastAsia="en-NZ"/>
        </w:rPr>
        <w:t>[2018] NZCA 24</w:t>
      </w:r>
    </w:p>
    <w:p w14:paraId="3925AA4B" w14:textId="151737BC" w:rsidR="006F524E" w:rsidRDefault="002C3B5B" w:rsidP="00A661A5">
      <w:pPr>
        <w:spacing w:line="276" w:lineRule="auto"/>
        <w:rPr>
          <w:rFonts w:ascii="Book Antiqua" w:hAnsi="Book Antiqua"/>
          <w:sz w:val="22"/>
          <w:lang w:val="en-NZ" w:eastAsia="en-NZ"/>
        </w:rPr>
      </w:pPr>
      <w:r w:rsidRPr="002C3B5B">
        <w:rPr>
          <w:rFonts w:ascii="Book Antiqua" w:hAnsi="Book Antiqua"/>
          <w:b/>
          <w:i/>
          <w:color w:val="4F81BD" w:themeColor="accent1"/>
          <w:sz w:val="22"/>
          <w:szCs w:val="22"/>
          <w:lang w:val="en-NZ" w:eastAsia="en-NZ"/>
        </w:rPr>
        <w:fldChar w:fldCharType="end"/>
      </w:r>
      <w:r w:rsidR="00391C3F" w:rsidRPr="001B2A3F">
        <w:rPr>
          <w:rFonts w:ascii="Book Antiqua" w:hAnsi="Book Antiqua"/>
          <w:sz w:val="22"/>
          <w:lang w:eastAsia="en-NZ"/>
        </w:rPr>
        <w:t xml:space="preserve">This case </w:t>
      </w:r>
      <w:r w:rsidR="000003B9">
        <w:rPr>
          <w:rFonts w:ascii="Book Antiqua" w:hAnsi="Book Antiqua"/>
          <w:sz w:val="22"/>
          <w:lang w:eastAsia="en-NZ"/>
        </w:rPr>
        <w:t xml:space="preserve">examines </w:t>
      </w:r>
      <w:r w:rsidR="00E37EB1" w:rsidRPr="00E37EB1">
        <w:rPr>
          <w:rFonts w:ascii="Book Antiqua" w:hAnsi="Book Antiqua"/>
          <w:sz w:val="22"/>
          <w:lang w:val="en-NZ" w:eastAsia="en-NZ"/>
        </w:rPr>
        <w:t xml:space="preserve">the </w:t>
      </w:r>
      <w:r w:rsidR="00E4737A" w:rsidRPr="00E4737A">
        <w:rPr>
          <w:rFonts w:ascii="Book Antiqua" w:hAnsi="Book Antiqua"/>
          <w:sz w:val="22"/>
          <w:lang w:val="en-NZ" w:eastAsia="en-NZ"/>
        </w:rPr>
        <w:t>right to freedom of expression</w:t>
      </w:r>
    </w:p>
    <w:p w14:paraId="36C1DFCB" w14:textId="77777777" w:rsidR="00E4737A" w:rsidRDefault="00E4737A" w:rsidP="00A661A5">
      <w:pPr>
        <w:spacing w:line="276" w:lineRule="auto"/>
        <w:rPr>
          <w:rFonts w:ascii="Book Antiqua" w:hAnsi="Book Antiqua"/>
          <w:color w:val="4F81BD" w:themeColor="accent1"/>
          <w:sz w:val="22"/>
          <w:szCs w:val="22"/>
          <w:lang w:eastAsia="en-NZ"/>
        </w:rPr>
      </w:pPr>
    </w:p>
    <w:p w14:paraId="6D2D5104" w14:textId="0D8D8B0B" w:rsidR="00E4737A" w:rsidRDefault="00DE2C1D" w:rsidP="00A661A5">
      <w:pPr>
        <w:spacing w:line="276" w:lineRule="auto"/>
        <w:rPr>
          <w:rFonts w:ascii="Book Antiqua" w:hAnsi="Book Antiqua"/>
          <w:b/>
          <w:color w:val="4F81BD" w:themeColor="accent1"/>
          <w:sz w:val="22"/>
          <w:szCs w:val="22"/>
          <w:lang w:val="en-NZ" w:eastAsia="en-NZ"/>
        </w:rPr>
      </w:pPr>
      <w:hyperlink w:anchor="_Mark_David_Chisnall" w:history="1">
        <w:r w:rsidR="00E4737A" w:rsidRPr="00E4737A">
          <w:rPr>
            <w:rFonts w:ascii="Book Antiqua" w:hAnsi="Book Antiqua"/>
            <w:b/>
            <w:i/>
            <w:color w:val="4F81BD" w:themeColor="accent1"/>
            <w:sz w:val="22"/>
            <w:szCs w:val="22"/>
            <w:lang w:val="en-NZ" w:eastAsia="en-NZ"/>
          </w:rPr>
          <w:t xml:space="preserve">Rudi Hartono and Ors v Ministry for Primary Industries </w:t>
        </w:r>
        <w:r w:rsidR="00E4737A" w:rsidRPr="00E4737A">
          <w:rPr>
            <w:rFonts w:ascii="Book Antiqua" w:hAnsi="Book Antiqua"/>
            <w:b/>
            <w:color w:val="4F81BD" w:themeColor="accent1"/>
            <w:sz w:val="22"/>
            <w:szCs w:val="22"/>
            <w:lang w:val="en-NZ" w:eastAsia="en-NZ"/>
          </w:rPr>
          <w:t xml:space="preserve">[2018] NZSC 17 </w:t>
        </w:r>
      </w:hyperlink>
    </w:p>
    <w:p w14:paraId="06F90D91" w14:textId="0BE6324E" w:rsidR="00EF0721" w:rsidRDefault="00EF0721" w:rsidP="00A661A5">
      <w:pPr>
        <w:spacing w:line="276" w:lineRule="auto"/>
        <w:rPr>
          <w:rFonts w:ascii="Book Antiqua" w:hAnsi="Book Antiqua"/>
          <w:sz w:val="22"/>
          <w:lang w:eastAsia="en-NZ"/>
        </w:rPr>
      </w:pPr>
      <w:r w:rsidRPr="001B2A3F">
        <w:rPr>
          <w:rFonts w:ascii="Book Antiqua" w:hAnsi="Book Antiqua"/>
          <w:sz w:val="22"/>
          <w:lang w:eastAsia="en-NZ"/>
        </w:rPr>
        <w:t xml:space="preserve">This case </w:t>
      </w:r>
      <w:r>
        <w:rPr>
          <w:rFonts w:ascii="Book Antiqua" w:hAnsi="Book Antiqua"/>
          <w:sz w:val="22"/>
          <w:lang w:eastAsia="en-NZ"/>
        </w:rPr>
        <w:t xml:space="preserve">examines </w:t>
      </w:r>
      <w:r w:rsidR="00E4737A" w:rsidRPr="00E4737A">
        <w:rPr>
          <w:rFonts w:ascii="Book Antiqua" w:hAnsi="Book Antiqua"/>
          <w:sz w:val="22"/>
          <w:lang w:eastAsia="en-NZ"/>
        </w:rPr>
        <w:t>the right to claim unpaid wages</w:t>
      </w:r>
    </w:p>
    <w:p w14:paraId="1B8A340B" w14:textId="77777777" w:rsidR="004432B3" w:rsidRPr="00B2542B" w:rsidRDefault="000C04F4" w:rsidP="00A661A5">
      <w:pPr>
        <w:spacing w:line="276" w:lineRule="auto"/>
        <w:rPr>
          <w:rFonts w:ascii="Book Antiqua" w:eastAsia="Times New Roman" w:hAnsi="Book Antiqua" w:cstheme="majorHAnsi"/>
          <w:color w:val="4F81BD" w:themeColor="accent1"/>
          <w:sz w:val="22"/>
          <w:szCs w:val="22"/>
          <w:lang w:eastAsia="en-NZ"/>
        </w:rPr>
      </w:pPr>
      <w:r w:rsidRPr="004F31F0">
        <w:rPr>
          <w:rFonts w:ascii="Book Antiqua" w:hAnsi="Book Antiqua"/>
          <w:sz w:val="22"/>
          <w:szCs w:val="22"/>
          <w:lang w:eastAsia="en-NZ"/>
        </w:rPr>
        <w:br w:type="page"/>
      </w:r>
    </w:p>
    <w:p w14:paraId="1FFB3E99" w14:textId="77777777" w:rsidR="0035506B" w:rsidRDefault="0035506B" w:rsidP="00A661A5">
      <w:pPr>
        <w:pStyle w:val="Heading1"/>
        <w:spacing w:line="276" w:lineRule="auto"/>
        <w:rPr>
          <w:rFonts w:ascii="Book Antiqua" w:hAnsi="Book Antiqua"/>
          <w:color w:val="1F497D" w:themeColor="text2"/>
          <w:sz w:val="40"/>
          <w:szCs w:val="40"/>
          <w:lang w:eastAsia="en-NZ"/>
        </w:rPr>
      </w:pPr>
      <w:bookmarkStart w:id="2" w:name="_Ref482571202"/>
    </w:p>
    <w:p w14:paraId="049D3AB1" w14:textId="77777777" w:rsidR="00DA59C1" w:rsidRPr="00076A5A" w:rsidRDefault="00DA59C1" w:rsidP="00A661A5">
      <w:pPr>
        <w:pStyle w:val="Heading1"/>
        <w:spacing w:line="276" w:lineRule="auto"/>
        <w:rPr>
          <w:rFonts w:ascii="Book Antiqua" w:hAnsi="Book Antiqua"/>
          <w:color w:val="1F497D" w:themeColor="text2"/>
          <w:sz w:val="40"/>
          <w:szCs w:val="40"/>
          <w:lang w:eastAsia="en-NZ"/>
        </w:rPr>
      </w:pPr>
      <w:bookmarkStart w:id="3" w:name="_Ref482574302"/>
      <w:bookmarkStart w:id="4" w:name="_Toc492298410"/>
      <w:r w:rsidRPr="00076A5A">
        <w:rPr>
          <w:rFonts w:ascii="Book Antiqua" w:hAnsi="Book Antiqua"/>
          <w:color w:val="1F497D" w:themeColor="text2"/>
          <w:sz w:val="40"/>
          <w:szCs w:val="40"/>
          <w:lang w:eastAsia="en-NZ"/>
        </w:rPr>
        <w:t>N</w:t>
      </w:r>
      <w:r w:rsidR="00EE7B56" w:rsidRPr="00076A5A">
        <w:rPr>
          <w:rFonts w:ascii="Book Antiqua" w:hAnsi="Book Antiqua"/>
          <w:caps w:val="0"/>
          <w:color w:val="1F497D" w:themeColor="text2"/>
          <w:sz w:val="40"/>
          <w:szCs w:val="40"/>
          <w:lang w:eastAsia="en-NZ"/>
        </w:rPr>
        <w:t>ational</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update</w:t>
      </w:r>
      <w:r w:rsidRPr="00076A5A">
        <w:rPr>
          <w:rFonts w:ascii="Book Antiqua" w:hAnsi="Book Antiqua"/>
          <w:color w:val="1F497D" w:themeColor="text2"/>
          <w:sz w:val="40"/>
          <w:szCs w:val="40"/>
          <w:lang w:eastAsia="en-NZ"/>
        </w:rPr>
        <w:t xml:space="preserve">: </w:t>
      </w:r>
      <w:r w:rsidR="00140A73">
        <w:rPr>
          <w:rFonts w:ascii="Book Antiqua" w:hAnsi="Book Antiqua"/>
          <w:color w:val="1F497D" w:themeColor="text2"/>
          <w:sz w:val="40"/>
          <w:szCs w:val="40"/>
          <w:lang w:eastAsia="en-NZ"/>
        </w:rPr>
        <w:br/>
      </w:r>
      <w:r w:rsidR="00EE7B56" w:rsidRPr="00076A5A">
        <w:rPr>
          <w:rFonts w:ascii="Book Antiqua" w:hAnsi="Book Antiqua"/>
          <w:caps w:val="0"/>
          <w:color w:val="1F497D" w:themeColor="text2"/>
          <w:sz w:val="40"/>
          <w:szCs w:val="40"/>
          <w:lang w:eastAsia="en-NZ"/>
        </w:rPr>
        <w:t>policy</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and</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legislation</w:t>
      </w:r>
      <w:bookmarkEnd w:id="2"/>
      <w:bookmarkEnd w:id="3"/>
      <w:bookmarkEnd w:id="4"/>
    </w:p>
    <w:p w14:paraId="1EE15A3D" w14:textId="77777777" w:rsidR="00C20AB7" w:rsidRPr="00DA59C1" w:rsidRDefault="00C20AB7" w:rsidP="00A661A5">
      <w:pPr>
        <w:spacing w:line="276" w:lineRule="auto"/>
        <w:rPr>
          <w:lang w:eastAsia="en-NZ"/>
        </w:rPr>
      </w:pPr>
    </w:p>
    <w:bookmarkStart w:id="5" w:name="_Parental_Leave_and"/>
    <w:bookmarkEnd w:id="5"/>
    <w:p w14:paraId="780BD41B" w14:textId="5B28EF85" w:rsidR="00A661A5" w:rsidRPr="00961CDE" w:rsidRDefault="00A661A5" w:rsidP="00A661A5">
      <w:pPr>
        <w:tabs>
          <w:tab w:val="left" w:leader="dot" w:pos="4395"/>
          <w:tab w:val="left" w:pos="5103"/>
        </w:tabs>
        <w:spacing w:line="276" w:lineRule="auto"/>
        <w:rPr>
          <w:rFonts w:ascii="Book Antiqua" w:hAnsi="Book Antiqua"/>
          <w:b/>
          <w:bCs/>
          <w:color w:val="4F81BD" w:themeColor="accent1"/>
          <w:sz w:val="22"/>
          <w:szCs w:val="22"/>
          <w:lang w:val="en-NZ"/>
        </w:rPr>
      </w:pPr>
      <w:r w:rsidRPr="00961CDE">
        <w:rPr>
          <w:rFonts w:ascii="Book Antiqua" w:hAnsi="Book Antiqua"/>
          <w:b/>
          <w:bCs/>
          <w:color w:val="4F81BD" w:themeColor="accent1"/>
          <w:sz w:val="22"/>
          <w:szCs w:val="22"/>
          <w:lang w:val="en-NZ"/>
        </w:rPr>
        <w:fldChar w:fldCharType="begin"/>
      </w:r>
      <w:r w:rsidRPr="00961CDE">
        <w:rPr>
          <w:rFonts w:ascii="Book Antiqua" w:hAnsi="Book Antiqua"/>
          <w:b/>
          <w:bCs/>
          <w:color w:val="4F81BD" w:themeColor="accent1"/>
          <w:sz w:val="22"/>
          <w:szCs w:val="22"/>
          <w:lang w:val="en-NZ"/>
        </w:rPr>
        <w:instrText xml:space="preserve"> HYPERLINK  \l "_Parental_Leave_and" </w:instrText>
      </w:r>
      <w:r w:rsidRPr="00961CDE">
        <w:rPr>
          <w:rFonts w:ascii="Book Antiqua" w:hAnsi="Book Antiqua"/>
          <w:b/>
          <w:bCs/>
          <w:color w:val="4F81BD" w:themeColor="accent1"/>
          <w:sz w:val="22"/>
          <w:szCs w:val="22"/>
          <w:lang w:val="en-NZ"/>
        </w:rPr>
        <w:fldChar w:fldCharType="separate"/>
      </w:r>
      <w:r w:rsidRPr="00961CDE">
        <w:rPr>
          <w:rFonts w:ascii="Book Antiqua" w:hAnsi="Book Antiqua"/>
          <w:b/>
          <w:bCs/>
          <w:color w:val="4F81BD" w:themeColor="accent1"/>
          <w:sz w:val="22"/>
          <w:szCs w:val="22"/>
          <w:lang w:val="en-NZ"/>
        </w:rPr>
        <w:t>Update on the new Parliament</w:t>
      </w:r>
    </w:p>
    <w:p w14:paraId="06DE96DC" w14:textId="6651D751" w:rsidR="00A661A5" w:rsidRDefault="00A661A5" w:rsidP="00A661A5">
      <w:pPr>
        <w:pStyle w:val="text"/>
        <w:spacing w:line="276" w:lineRule="auto"/>
        <w:rPr>
          <w:rFonts w:ascii="Book Antiqua" w:hAnsi="Book Antiqua"/>
          <w:sz w:val="22"/>
          <w:szCs w:val="22"/>
        </w:rPr>
      </w:pPr>
      <w:r w:rsidRPr="00961CDE">
        <w:rPr>
          <w:rFonts w:ascii="Book Antiqua" w:hAnsi="Book Antiqua"/>
          <w:b/>
          <w:bCs/>
          <w:color w:val="4F81BD" w:themeColor="accent1"/>
          <w:sz w:val="22"/>
          <w:szCs w:val="22"/>
        </w:rPr>
        <w:fldChar w:fldCharType="end"/>
      </w:r>
      <w:r w:rsidR="00961CDE" w:rsidRPr="00A661A5">
        <w:rPr>
          <w:rFonts w:ascii="Book Antiqua" w:hAnsi="Book Antiqua"/>
          <w:sz w:val="22"/>
          <w:szCs w:val="22"/>
        </w:rPr>
        <w:t xml:space="preserve">The new Parliament has reinstated most of the bills introduced by its predecessor, according urgency to three, two of which– the </w:t>
      </w:r>
      <w:r w:rsidR="00961CDE" w:rsidRPr="00A661A5">
        <w:rPr>
          <w:rFonts w:ascii="Book Antiqua" w:hAnsi="Book Antiqua"/>
          <w:b/>
          <w:sz w:val="22"/>
          <w:szCs w:val="22"/>
        </w:rPr>
        <w:t>Families Package (Income Tax and Benefits) Bill</w:t>
      </w:r>
      <w:r w:rsidR="00961CDE" w:rsidRPr="00A661A5">
        <w:rPr>
          <w:rFonts w:ascii="Book Antiqua" w:hAnsi="Book Antiqua"/>
          <w:sz w:val="22"/>
          <w:szCs w:val="22"/>
        </w:rPr>
        <w:t xml:space="preserve"> and the </w:t>
      </w:r>
      <w:r w:rsidR="00961CDE" w:rsidRPr="00A661A5">
        <w:rPr>
          <w:rFonts w:ascii="Book Antiqua" w:hAnsi="Book Antiqua"/>
          <w:b/>
          <w:sz w:val="22"/>
          <w:szCs w:val="22"/>
        </w:rPr>
        <w:t>Parental Leave and Employment Protection Amendment Bill</w:t>
      </w:r>
      <w:r w:rsidR="00961CDE" w:rsidRPr="00A661A5">
        <w:rPr>
          <w:rFonts w:ascii="Book Antiqua" w:hAnsi="Book Antiqua"/>
          <w:sz w:val="22"/>
          <w:szCs w:val="22"/>
        </w:rPr>
        <w:t xml:space="preserve"> - reflect labour policy. The first had its third reading in December last year. The second was accorded urgency on its introduction and first and second reading, receiving the royal assent on the 4</w:t>
      </w:r>
      <w:r w:rsidR="00961CDE" w:rsidRPr="00A661A5">
        <w:rPr>
          <w:rFonts w:ascii="Book Antiqua" w:hAnsi="Book Antiqua"/>
          <w:sz w:val="22"/>
          <w:szCs w:val="22"/>
          <w:vertAlign w:val="superscript"/>
        </w:rPr>
        <w:t>th</w:t>
      </w:r>
      <w:r w:rsidR="00961CDE" w:rsidRPr="00A661A5">
        <w:rPr>
          <w:rFonts w:ascii="Book Antiqua" w:hAnsi="Book Antiqua"/>
          <w:sz w:val="22"/>
          <w:szCs w:val="22"/>
        </w:rPr>
        <w:t xml:space="preserve"> December. The </w:t>
      </w:r>
      <w:r w:rsidR="00961CDE" w:rsidRPr="00A661A5">
        <w:rPr>
          <w:rFonts w:ascii="Book Antiqua" w:hAnsi="Book Antiqua"/>
          <w:b/>
          <w:sz w:val="22"/>
          <w:szCs w:val="22"/>
        </w:rPr>
        <w:t>Criminal Records (Expungement of Convictions for Historical Homosexual Offences) Act</w:t>
      </w:r>
      <w:r w:rsidR="00961CDE" w:rsidRPr="00A661A5">
        <w:rPr>
          <w:rFonts w:ascii="Book Antiqua" w:hAnsi="Book Antiqua"/>
          <w:sz w:val="22"/>
          <w:szCs w:val="22"/>
        </w:rPr>
        <w:t xml:space="preserve"> - also a Labour measure -became law on 9 April 2018. The aim of the Act is to reduce prejudice and stigma arising from a conviction for a historical homosexual offence by enabling an eligible person to apply for expungement of the conviction if the Secretary of Justice decides, on the balance of probabilities, that the conviction meets the test for expungement. Namely it would not be an offence under today’s law. The legislation is not unique to New Zealand. Similar initiatives have already been introduced in England, Wales and some Australian states. </w:t>
      </w:r>
      <w:r>
        <w:rPr>
          <w:rFonts w:ascii="Book Antiqua" w:hAnsi="Book Antiqua"/>
          <w:sz w:val="22"/>
          <w:szCs w:val="22"/>
        </w:rPr>
        <w:br/>
      </w:r>
    </w:p>
    <w:bookmarkStart w:id="6" w:name="_Child_Poverty_Reduction"/>
    <w:bookmarkEnd w:id="6"/>
    <w:p w14:paraId="02A81C86" w14:textId="77777777" w:rsidR="00A661A5" w:rsidRPr="00A661A5" w:rsidRDefault="00A661A5" w:rsidP="00A661A5">
      <w:pPr>
        <w:pStyle w:val="Heading2"/>
        <w:rPr>
          <w:rFonts w:ascii="Book Antiqua" w:hAnsi="Book Antiqua"/>
          <w:sz w:val="22"/>
          <w:szCs w:val="22"/>
          <w:lang w:val="en-NZ"/>
        </w:rPr>
      </w:pPr>
      <w:r w:rsidRPr="00A661A5">
        <w:rPr>
          <w:rFonts w:ascii="Book Antiqua" w:hAnsi="Book Antiqua"/>
          <w:sz w:val="22"/>
          <w:szCs w:val="22"/>
          <w:lang w:val="en-NZ"/>
        </w:rPr>
        <w:fldChar w:fldCharType="begin"/>
      </w:r>
      <w:r w:rsidRPr="00A661A5">
        <w:rPr>
          <w:rFonts w:ascii="Book Antiqua" w:hAnsi="Book Antiqua"/>
          <w:sz w:val="22"/>
          <w:szCs w:val="22"/>
          <w:lang w:val="en-NZ"/>
        </w:rPr>
        <w:instrText xml:space="preserve"> HYPERLINK  \l "_Parental_Leave_and" </w:instrText>
      </w:r>
      <w:r w:rsidRPr="00A661A5">
        <w:rPr>
          <w:rFonts w:ascii="Book Antiqua" w:hAnsi="Book Antiqua"/>
          <w:sz w:val="22"/>
          <w:szCs w:val="22"/>
          <w:lang w:val="en-NZ"/>
        </w:rPr>
        <w:fldChar w:fldCharType="separate"/>
      </w:r>
      <w:r w:rsidRPr="00A661A5">
        <w:rPr>
          <w:rFonts w:ascii="Book Antiqua" w:hAnsi="Book Antiqua"/>
          <w:sz w:val="22"/>
          <w:szCs w:val="22"/>
          <w:lang w:val="en-NZ"/>
        </w:rPr>
        <w:t>Child Poverty Reduction Bill</w:t>
      </w:r>
    </w:p>
    <w:p w14:paraId="43BB56CC" w14:textId="77777777" w:rsidR="00A661A5" w:rsidRDefault="00A661A5" w:rsidP="00A661A5">
      <w:pPr>
        <w:spacing w:line="276" w:lineRule="auto"/>
        <w:rPr>
          <w:b/>
          <w:lang w:val="en-NZ"/>
        </w:rPr>
      </w:pPr>
      <w:r w:rsidRPr="00A661A5">
        <w:rPr>
          <w:b/>
          <w:lang w:val="en-NZ"/>
        </w:rPr>
        <w:fldChar w:fldCharType="end"/>
      </w:r>
    </w:p>
    <w:p w14:paraId="713B45B8" w14:textId="04FDAD40" w:rsidR="00A661A5" w:rsidRPr="00A661A5" w:rsidRDefault="00A661A5" w:rsidP="00A661A5">
      <w:pPr>
        <w:spacing w:line="276" w:lineRule="auto"/>
        <w:rPr>
          <w:rFonts w:ascii="Book Antiqua" w:eastAsiaTheme="majorEastAsia" w:hAnsi="Book Antiqua"/>
          <w:sz w:val="22"/>
          <w:szCs w:val="22"/>
          <w:lang w:val="en-NZ"/>
        </w:rPr>
      </w:pPr>
      <w:r w:rsidRPr="00A661A5">
        <w:rPr>
          <w:rFonts w:ascii="Book Antiqua" w:hAnsi="Book Antiqua"/>
          <w:sz w:val="22"/>
          <w:szCs w:val="22"/>
          <w:lang w:val="en-NZ" w:eastAsia="en-NZ"/>
        </w:rPr>
        <w:t xml:space="preserve">New legislation includes the introduction of the </w:t>
      </w:r>
      <w:r w:rsidRPr="00A661A5">
        <w:rPr>
          <w:rFonts w:ascii="Book Antiqua" w:hAnsi="Book Antiqua"/>
          <w:b/>
          <w:sz w:val="22"/>
          <w:szCs w:val="22"/>
          <w:lang w:val="en-NZ" w:eastAsia="en-NZ"/>
        </w:rPr>
        <w:t xml:space="preserve">Child Poverty Reduction Bill </w:t>
      </w:r>
      <w:r w:rsidRPr="00A661A5">
        <w:rPr>
          <w:rFonts w:ascii="Book Antiqua" w:hAnsi="Book Antiqua"/>
          <w:sz w:val="22"/>
          <w:szCs w:val="22"/>
          <w:lang w:val="en-NZ" w:eastAsia="en-NZ"/>
        </w:rPr>
        <w:t xml:space="preserve">designed to encourage a focus on child poverty reduction, facilitate political accountability against published targets, require transparent reporting on child poverty levels and create a greater commitment by Government to address child well-being. The bill has been sent to the Social Services and Community Committee and submissions were due by 4 April.  </w:t>
      </w:r>
    </w:p>
    <w:p w14:paraId="46FF8718" w14:textId="77777777" w:rsidR="00A661A5" w:rsidRDefault="00A661A5" w:rsidP="00A661A5">
      <w:pPr>
        <w:tabs>
          <w:tab w:val="left" w:leader="dot" w:pos="4395"/>
          <w:tab w:val="left" w:pos="5103"/>
        </w:tabs>
        <w:spacing w:line="276" w:lineRule="auto"/>
        <w:rPr>
          <w:rFonts w:ascii="Book Antiqua" w:eastAsia="Times New Roman" w:hAnsi="Book Antiqua"/>
          <w:bCs/>
          <w:sz w:val="22"/>
          <w:szCs w:val="22"/>
          <w:lang w:val="en-NZ" w:eastAsia="en-NZ"/>
        </w:rPr>
      </w:pPr>
    </w:p>
    <w:p w14:paraId="53EE7145" w14:textId="7CAC92FB" w:rsidR="00A661A5" w:rsidRPr="00A661A5" w:rsidRDefault="00A661A5" w:rsidP="00A661A5">
      <w:pPr>
        <w:pStyle w:val="Heading2"/>
        <w:rPr>
          <w:rFonts w:ascii="Book Antiqua" w:hAnsi="Book Antiqua"/>
          <w:sz w:val="22"/>
          <w:szCs w:val="22"/>
        </w:rPr>
      </w:pPr>
      <w:bookmarkStart w:id="7" w:name="_Equal_Pay_Legislation"/>
      <w:bookmarkEnd w:id="7"/>
      <w:r w:rsidRPr="00A661A5">
        <w:rPr>
          <w:rFonts w:ascii="Book Antiqua" w:hAnsi="Book Antiqua"/>
          <w:sz w:val="22"/>
          <w:szCs w:val="22"/>
        </w:rPr>
        <w:t>Equal Pay Legislation</w:t>
      </w:r>
    </w:p>
    <w:p w14:paraId="17B54DF8" w14:textId="77777777" w:rsidR="00961CDE" w:rsidRDefault="00961CDE" w:rsidP="00A661A5">
      <w:pPr>
        <w:pStyle w:val="NormalWeb"/>
        <w:spacing w:line="276" w:lineRule="auto"/>
        <w:rPr>
          <w:rFonts w:ascii="Book Antiqua" w:hAnsi="Book Antiqua"/>
          <w:sz w:val="22"/>
          <w:szCs w:val="22"/>
        </w:rPr>
      </w:pPr>
      <w:r w:rsidRPr="00A661A5">
        <w:rPr>
          <w:rFonts w:ascii="Book Antiqua" w:hAnsi="Book Antiqua"/>
          <w:sz w:val="22"/>
          <w:szCs w:val="22"/>
        </w:rPr>
        <w:t xml:space="preserve">The new government also reconvened the Joint Working Group on Pay Equity Principles as a step towards establishing pay equity for New Zealand women. The original Working Group set up in 2015 had developed a set of principles to guide the implementation of pay equity but was dissolved by the previous Government although legislation was introduced last year to address the issues arising out of the </w:t>
      </w:r>
      <w:r w:rsidRPr="00A661A5">
        <w:rPr>
          <w:rFonts w:ascii="Book Antiqua" w:hAnsi="Book Antiqua"/>
          <w:i/>
          <w:sz w:val="22"/>
          <w:szCs w:val="22"/>
        </w:rPr>
        <w:t xml:space="preserve">Terranova </w:t>
      </w:r>
      <w:r w:rsidRPr="00A661A5">
        <w:rPr>
          <w:rFonts w:ascii="Book Antiqua" w:hAnsi="Book Antiqua"/>
          <w:sz w:val="22"/>
          <w:szCs w:val="22"/>
        </w:rPr>
        <w:t xml:space="preserve">case. The Bill did not address a number of issues faced by women making a pay equity claim and it has now been withdrawn. The Joint Working Group reported in early March recommending the Government clarify and simplify the process for initiating a pay equity claim, and amend the Equal Pay Act 1972 to implement these principles. It is hoped that new legislation will be introduced by the middle of the year.  In the meantime a private member’s bill - </w:t>
      </w:r>
      <w:r w:rsidRPr="00A661A5">
        <w:rPr>
          <w:rFonts w:ascii="Book Antiqua" w:hAnsi="Book Antiqua"/>
          <w:b/>
          <w:sz w:val="22"/>
          <w:szCs w:val="22"/>
        </w:rPr>
        <w:t>Employment (Pay Equity and Equal Pay) Bill</w:t>
      </w:r>
      <w:r w:rsidRPr="00A661A5">
        <w:rPr>
          <w:rFonts w:ascii="Book Antiqua" w:hAnsi="Book Antiqua"/>
          <w:sz w:val="22"/>
          <w:szCs w:val="22"/>
        </w:rPr>
        <w:t xml:space="preserve"> – effectively the same as National’s earlier Bill was drawn out of the ballot and introduced on 22 February. Presumably this will be deferred pending the introduction of the government bill.</w:t>
      </w:r>
    </w:p>
    <w:p w14:paraId="362FB414" w14:textId="31A12723" w:rsidR="00A661A5" w:rsidRPr="00A661A5" w:rsidRDefault="00A661A5" w:rsidP="00A661A5">
      <w:pPr>
        <w:pStyle w:val="Heading2"/>
        <w:rPr>
          <w:rFonts w:ascii="Book Antiqua" w:hAnsi="Book Antiqua" w:cstheme="majorHAnsi"/>
          <w:sz w:val="22"/>
          <w:szCs w:val="22"/>
          <w:lang w:val="en-NZ"/>
        </w:rPr>
      </w:pPr>
      <w:bookmarkStart w:id="8" w:name="_Protected_Disclosures_legislation"/>
      <w:bookmarkEnd w:id="8"/>
      <w:r>
        <w:br/>
      </w:r>
      <w:hyperlink w:anchor="_Inquiry_into_historic" w:history="1">
        <w:r w:rsidRPr="00A661A5">
          <w:rPr>
            <w:rFonts w:ascii="Book Antiqua" w:hAnsi="Book Antiqua"/>
            <w:sz w:val="22"/>
            <w:szCs w:val="22"/>
            <w:lang w:val="en-NZ"/>
          </w:rPr>
          <w:t>Protected Disclosures legislation review</w:t>
        </w:r>
      </w:hyperlink>
    </w:p>
    <w:p w14:paraId="217CF18C" w14:textId="77777777" w:rsidR="00961CDE" w:rsidRDefault="00961CDE" w:rsidP="00A661A5">
      <w:pPr>
        <w:pStyle w:val="NormalWeb"/>
        <w:spacing w:line="276" w:lineRule="auto"/>
        <w:rPr>
          <w:rFonts w:ascii="Book Antiqua" w:hAnsi="Book Antiqua"/>
          <w:sz w:val="22"/>
          <w:szCs w:val="22"/>
        </w:rPr>
      </w:pPr>
      <w:r w:rsidRPr="00A661A5">
        <w:rPr>
          <w:rFonts w:ascii="Book Antiqua" w:hAnsi="Book Antiqua"/>
          <w:sz w:val="22"/>
          <w:szCs w:val="22"/>
        </w:rPr>
        <w:t xml:space="preserve">A review of the </w:t>
      </w:r>
      <w:r w:rsidRPr="00A661A5">
        <w:rPr>
          <w:rFonts w:ascii="Book Antiqua" w:hAnsi="Book Antiqua"/>
          <w:b/>
          <w:sz w:val="22"/>
          <w:szCs w:val="22"/>
        </w:rPr>
        <w:t xml:space="preserve">Protected Disclosures Act 2000 </w:t>
      </w:r>
      <w:r w:rsidRPr="00A661A5">
        <w:rPr>
          <w:rFonts w:ascii="Book Antiqua" w:hAnsi="Book Antiqua"/>
          <w:sz w:val="22"/>
          <w:szCs w:val="22"/>
        </w:rPr>
        <w:t xml:space="preserve">has been announced. The Act is designed to promote the public interest by facilitating the disclosure and investigation of serious wrongdoing in the workplace, by providing protection for individuals who report concerns. Special victimisation provisions are in the Human Rights Act 1993. Recent information suggests that the present process is not working as well as it might and New Zealand is falling behind in terms of international best practice in this area.   </w:t>
      </w:r>
    </w:p>
    <w:p w14:paraId="0E6744FB" w14:textId="69AFA254" w:rsidR="00A661A5" w:rsidRDefault="007700E3" w:rsidP="007700E3">
      <w:pPr>
        <w:pStyle w:val="Heading2"/>
        <w:rPr>
          <w:rFonts w:ascii="Book Antiqua" w:hAnsi="Book Antiqua"/>
          <w:sz w:val="22"/>
          <w:szCs w:val="22"/>
        </w:rPr>
      </w:pPr>
      <w:bookmarkStart w:id="9" w:name="_Privacy_Bill"/>
      <w:bookmarkEnd w:id="9"/>
      <w:r w:rsidRPr="007700E3">
        <w:rPr>
          <w:rFonts w:ascii="Book Antiqua" w:hAnsi="Book Antiqua"/>
          <w:sz w:val="22"/>
          <w:szCs w:val="22"/>
        </w:rPr>
        <w:br/>
        <w:t>Privacy Bill</w:t>
      </w:r>
    </w:p>
    <w:p w14:paraId="6DF50904" w14:textId="77777777" w:rsidR="007700E3" w:rsidRPr="007700E3" w:rsidRDefault="007700E3" w:rsidP="007700E3"/>
    <w:p w14:paraId="514B4227" w14:textId="77777777" w:rsidR="00961CDE" w:rsidRDefault="00961CDE" w:rsidP="00A661A5">
      <w:pPr>
        <w:autoSpaceDE w:val="0"/>
        <w:autoSpaceDN w:val="0"/>
        <w:adjustRightInd w:val="0"/>
        <w:spacing w:line="276" w:lineRule="auto"/>
        <w:rPr>
          <w:rFonts w:ascii="Book Antiqua" w:hAnsi="Book Antiqua"/>
          <w:sz w:val="22"/>
          <w:szCs w:val="22"/>
        </w:rPr>
      </w:pPr>
      <w:r w:rsidRPr="00A661A5">
        <w:rPr>
          <w:rFonts w:ascii="Book Antiqua" w:hAnsi="Book Antiqua"/>
          <w:sz w:val="22"/>
          <w:szCs w:val="22"/>
        </w:rPr>
        <w:t xml:space="preserve">A new </w:t>
      </w:r>
      <w:r w:rsidRPr="00A661A5">
        <w:rPr>
          <w:rFonts w:ascii="Book Antiqua" w:hAnsi="Book Antiqua"/>
          <w:b/>
          <w:sz w:val="22"/>
          <w:szCs w:val="22"/>
        </w:rPr>
        <w:t>Privacy Bill</w:t>
      </w:r>
      <w:r w:rsidRPr="00A661A5">
        <w:rPr>
          <w:rFonts w:ascii="Book Antiqua" w:hAnsi="Book Antiqua"/>
          <w:sz w:val="22"/>
          <w:szCs w:val="22"/>
        </w:rPr>
        <w:t xml:space="preserve"> was introduced on March 20. It repeals and replaces the Privacy Act 1993, as recommended in the Law Commission's 2011 review. Its key purpose is to promote people's confidence that their personal information is secure and will be treated properly. The Bill retains the Act’s 12 information privacy principles, which seek to protect people’s privacy, while accommodating legitimate information use by government, firms, and other organisations. Information privacy principles 6 and 7, for example, continue to provide, respectively, for a person’s right to access and correct information about them. The Bill also updates the information privacy principles in some respects, for example, to better protect personal information sent overseas. Submissions to the Justice Committee are due by the 24</w:t>
      </w:r>
      <w:r w:rsidRPr="00A661A5">
        <w:rPr>
          <w:rFonts w:ascii="Book Antiqua" w:hAnsi="Book Antiqua"/>
          <w:sz w:val="22"/>
          <w:szCs w:val="22"/>
          <w:vertAlign w:val="superscript"/>
        </w:rPr>
        <w:t>th</w:t>
      </w:r>
      <w:r w:rsidRPr="00A661A5">
        <w:rPr>
          <w:rFonts w:ascii="Book Antiqua" w:hAnsi="Book Antiqua"/>
          <w:sz w:val="22"/>
          <w:szCs w:val="22"/>
        </w:rPr>
        <w:t xml:space="preserve"> May. </w:t>
      </w:r>
    </w:p>
    <w:p w14:paraId="11F350E0" w14:textId="77777777" w:rsidR="007700E3" w:rsidRDefault="007700E3" w:rsidP="00A661A5">
      <w:pPr>
        <w:autoSpaceDE w:val="0"/>
        <w:autoSpaceDN w:val="0"/>
        <w:adjustRightInd w:val="0"/>
        <w:spacing w:line="276" w:lineRule="auto"/>
        <w:rPr>
          <w:rFonts w:ascii="Book Antiqua" w:hAnsi="Book Antiqua"/>
          <w:sz w:val="22"/>
          <w:szCs w:val="22"/>
        </w:rPr>
      </w:pPr>
    </w:p>
    <w:p w14:paraId="3E726B7B" w14:textId="469219D0" w:rsidR="007700E3" w:rsidRPr="007700E3" w:rsidRDefault="007700E3" w:rsidP="007700E3">
      <w:pPr>
        <w:pStyle w:val="Heading2"/>
        <w:rPr>
          <w:rFonts w:ascii="Book Antiqua" w:hAnsi="Book Antiqua"/>
          <w:sz w:val="22"/>
          <w:szCs w:val="22"/>
        </w:rPr>
      </w:pPr>
      <w:bookmarkStart w:id="10" w:name="_Bill_of_Rights"/>
      <w:bookmarkEnd w:id="10"/>
      <w:r w:rsidRPr="007700E3">
        <w:rPr>
          <w:rFonts w:ascii="Book Antiqua" w:hAnsi="Book Antiqua"/>
          <w:sz w:val="22"/>
          <w:szCs w:val="22"/>
        </w:rPr>
        <w:t>Bill of Rights</w:t>
      </w:r>
    </w:p>
    <w:p w14:paraId="4F35B825" w14:textId="36898284" w:rsidR="00961CDE" w:rsidRPr="00A661A5" w:rsidRDefault="00961CDE" w:rsidP="00A661A5">
      <w:pPr>
        <w:pStyle w:val="NormalWeb"/>
        <w:spacing w:line="276" w:lineRule="auto"/>
        <w:rPr>
          <w:rFonts w:ascii="Book Antiqua" w:hAnsi="Book Antiqua"/>
          <w:sz w:val="22"/>
          <w:szCs w:val="22"/>
        </w:rPr>
      </w:pPr>
      <w:r w:rsidRPr="00A661A5">
        <w:rPr>
          <w:rFonts w:ascii="Book Antiqua" w:hAnsi="Book Antiqua"/>
          <w:sz w:val="22"/>
          <w:szCs w:val="22"/>
        </w:rPr>
        <w:t xml:space="preserve">Perhaps most importantly, the Government has indicated that it proposes amending the </w:t>
      </w:r>
      <w:r w:rsidRPr="00A661A5">
        <w:rPr>
          <w:rFonts w:ascii="Book Antiqua" w:hAnsi="Book Antiqua"/>
          <w:b/>
          <w:sz w:val="22"/>
          <w:szCs w:val="22"/>
        </w:rPr>
        <w:t>New Zealand Bill of Rights 1990</w:t>
      </w:r>
      <w:r w:rsidRPr="00A661A5">
        <w:rPr>
          <w:rFonts w:ascii="Book Antiqua" w:hAnsi="Book Antiqua"/>
          <w:sz w:val="22"/>
          <w:szCs w:val="22"/>
        </w:rPr>
        <w:t xml:space="preserve"> to allow the country's senior courts to make a declaration of inconsistency recommending to Parliament that it should review and reconsider whether a law contravenes the Bill of Rights. The change comes just as Arthur Taylor’s case on the voting rights of prisoners goes to the Supreme Court. The case has caused the courts to assert they already have the jurisdiction to advise the Government where legislation is inconsistent with the Bill of Rights.</w:t>
      </w:r>
      <w:r w:rsidR="007700E3">
        <w:rPr>
          <w:rFonts w:ascii="Book Antiqua" w:hAnsi="Book Antiqua"/>
          <w:sz w:val="22"/>
          <w:szCs w:val="22"/>
        </w:rPr>
        <w:br/>
      </w:r>
    </w:p>
    <w:p w14:paraId="5AE64572" w14:textId="77777777" w:rsidR="00961CDE" w:rsidRPr="00A661A5" w:rsidRDefault="00961CDE" w:rsidP="00A661A5">
      <w:pPr>
        <w:pStyle w:val="Heading2"/>
        <w:rPr>
          <w:rFonts w:ascii="Book Antiqua" w:hAnsi="Book Antiqua"/>
          <w:sz w:val="22"/>
          <w:szCs w:val="22"/>
        </w:rPr>
      </w:pPr>
      <w:bookmarkStart w:id="11" w:name="_Inquiry_into_Mental"/>
      <w:bookmarkEnd w:id="11"/>
      <w:r w:rsidRPr="00A661A5">
        <w:rPr>
          <w:rFonts w:ascii="Book Antiqua" w:hAnsi="Book Antiqua"/>
          <w:sz w:val="22"/>
          <w:szCs w:val="22"/>
        </w:rPr>
        <w:t xml:space="preserve">Inquiry into Mental Health and Addiction </w:t>
      </w:r>
    </w:p>
    <w:p w14:paraId="4F0316BB" w14:textId="5460D14D" w:rsidR="00961CDE" w:rsidRPr="00A661A5" w:rsidRDefault="00961CDE" w:rsidP="00A661A5">
      <w:pPr>
        <w:pStyle w:val="NormalWeb"/>
        <w:spacing w:line="276" w:lineRule="auto"/>
        <w:rPr>
          <w:rFonts w:ascii="Book Antiqua" w:hAnsi="Book Antiqua"/>
          <w:sz w:val="22"/>
          <w:szCs w:val="22"/>
        </w:rPr>
      </w:pPr>
      <w:r w:rsidRPr="00A661A5">
        <w:rPr>
          <w:rFonts w:ascii="Book Antiqua" w:hAnsi="Book Antiqua"/>
          <w:sz w:val="22"/>
          <w:szCs w:val="22"/>
        </w:rPr>
        <w:t xml:space="preserve">The Government has announced details of the Inquiry into Mental Health and Addiction. The Inquiry will be chaired by former Health and Disability Commissioner, Professor Ron Paterson, and is to report back to Government by the end of October. More about the Inquiry including the Terms of Reference and bios for the Inquiry chair and members can be found at: </w:t>
      </w:r>
      <w:hyperlink r:id="rId12" w:history="1">
        <w:r w:rsidRPr="00A661A5">
          <w:rPr>
            <w:rStyle w:val="Hyperlink"/>
            <w:rFonts w:ascii="Book Antiqua" w:hAnsi="Book Antiqua"/>
            <w:sz w:val="22"/>
            <w:szCs w:val="22"/>
          </w:rPr>
          <w:t>mentalhealth@inquiry.govt.nz</w:t>
        </w:r>
      </w:hyperlink>
      <w:r w:rsidR="007700E3">
        <w:rPr>
          <w:rStyle w:val="Hyperlink"/>
          <w:rFonts w:ascii="Book Antiqua" w:hAnsi="Book Antiqua"/>
          <w:sz w:val="22"/>
          <w:szCs w:val="22"/>
        </w:rPr>
        <w:br/>
      </w:r>
    </w:p>
    <w:p w14:paraId="448BE87D" w14:textId="77777777" w:rsidR="00961CDE" w:rsidRPr="00A661A5" w:rsidRDefault="00961CDE" w:rsidP="00A661A5">
      <w:pPr>
        <w:pStyle w:val="Heading2"/>
        <w:rPr>
          <w:rStyle w:val="st"/>
          <w:rFonts w:ascii="Book Antiqua" w:hAnsi="Book Antiqua"/>
          <w:b w:val="0"/>
          <w:sz w:val="20"/>
          <w:szCs w:val="20"/>
        </w:rPr>
      </w:pPr>
      <w:bookmarkStart w:id="12" w:name="_Royal_Commission_of"/>
      <w:bookmarkEnd w:id="12"/>
      <w:r w:rsidRPr="00A661A5">
        <w:rPr>
          <w:rStyle w:val="st"/>
          <w:rFonts w:ascii="Book Antiqua" w:hAnsi="Book Antiqua"/>
          <w:sz w:val="20"/>
          <w:szCs w:val="20"/>
        </w:rPr>
        <w:t xml:space="preserve">Royal Commission of </w:t>
      </w:r>
      <w:r w:rsidRPr="00A661A5">
        <w:rPr>
          <w:rStyle w:val="Emphasis"/>
          <w:rFonts w:ascii="Book Antiqua" w:hAnsi="Book Antiqua"/>
          <w:i w:val="0"/>
          <w:sz w:val="20"/>
          <w:szCs w:val="20"/>
        </w:rPr>
        <w:t>Inquiry</w:t>
      </w:r>
      <w:r w:rsidRPr="00A661A5">
        <w:rPr>
          <w:rStyle w:val="Emphasis"/>
          <w:rFonts w:ascii="Book Antiqua" w:hAnsi="Book Antiqua"/>
          <w:sz w:val="20"/>
          <w:szCs w:val="20"/>
        </w:rPr>
        <w:t xml:space="preserve"> </w:t>
      </w:r>
      <w:r w:rsidRPr="00A661A5">
        <w:rPr>
          <w:rStyle w:val="Emphasis"/>
          <w:rFonts w:ascii="Book Antiqua" w:hAnsi="Book Antiqua"/>
          <w:i w:val="0"/>
          <w:sz w:val="20"/>
          <w:szCs w:val="20"/>
        </w:rPr>
        <w:t>into</w:t>
      </w:r>
      <w:r w:rsidRPr="00A661A5">
        <w:rPr>
          <w:rStyle w:val="st"/>
          <w:rFonts w:ascii="Book Antiqua" w:hAnsi="Book Antiqua"/>
          <w:sz w:val="20"/>
          <w:szCs w:val="20"/>
        </w:rPr>
        <w:t xml:space="preserve"> the historical abuse of </w:t>
      </w:r>
      <w:r w:rsidRPr="00A661A5">
        <w:rPr>
          <w:rStyle w:val="Emphasis"/>
          <w:rFonts w:ascii="Book Antiqua" w:hAnsi="Book Antiqua"/>
          <w:i w:val="0"/>
          <w:sz w:val="20"/>
          <w:szCs w:val="20"/>
        </w:rPr>
        <w:t>children in state care</w:t>
      </w:r>
      <w:r w:rsidRPr="00A661A5">
        <w:rPr>
          <w:rStyle w:val="st"/>
          <w:rFonts w:ascii="Book Antiqua" w:hAnsi="Book Antiqua"/>
          <w:sz w:val="20"/>
          <w:szCs w:val="20"/>
        </w:rPr>
        <w:t xml:space="preserve"> </w:t>
      </w:r>
    </w:p>
    <w:p w14:paraId="0BA5EBBF" w14:textId="4662D41C" w:rsidR="00B2542B" w:rsidRPr="00A661A5" w:rsidRDefault="00961CDE" w:rsidP="00A661A5">
      <w:pPr>
        <w:spacing w:line="276" w:lineRule="auto"/>
        <w:outlineLvl w:val="0"/>
        <w:rPr>
          <w:rFonts w:ascii="Book Antiqua" w:hAnsi="Book Antiqua" w:cstheme="majorHAnsi"/>
          <w:sz w:val="22"/>
          <w:szCs w:val="22"/>
        </w:rPr>
      </w:pPr>
      <w:r w:rsidRPr="00A661A5">
        <w:rPr>
          <w:rStyle w:val="st"/>
          <w:rFonts w:ascii="Book Antiqua" w:hAnsi="Book Antiqua"/>
          <w:sz w:val="22"/>
          <w:szCs w:val="22"/>
        </w:rPr>
        <w:t xml:space="preserve">As noted in our last bulletin the Government has announced a Commission into the abuse of children in state care will focus </w:t>
      </w:r>
      <w:r w:rsidRPr="00A661A5">
        <w:rPr>
          <w:rStyle w:val="Emphasis"/>
          <w:rFonts w:ascii="Book Antiqua" w:hAnsi="Book Antiqua"/>
          <w:sz w:val="22"/>
          <w:szCs w:val="22"/>
        </w:rPr>
        <w:t>on</w:t>
      </w:r>
      <w:r w:rsidRPr="00A661A5">
        <w:rPr>
          <w:rStyle w:val="st"/>
          <w:rFonts w:ascii="Book Antiqua" w:hAnsi="Book Antiqua"/>
          <w:i/>
          <w:sz w:val="22"/>
          <w:szCs w:val="22"/>
        </w:rPr>
        <w:t xml:space="preserve"> </w:t>
      </w:r>
      <w:r w:rsidRPr="00A661A5">
        <w:rPr>
          <w:rStyle w:val="st"/>
          <w:rFonts w:ascii="Book Antiqua" w:hAnsi="Book Antiqua"/>
          <w:sz w:val="22"/>
          <w:szCs w:val="22"/>
        </w:rPr>
        <w:t xml:space="preserve">the victims, including any systemic bias based </w:t>
      </w:r>
      <w:r w:rsidRPr="00A661A5">
        <w:rPr>
          <w:rStyle w:val="Emphasis"/>
          <w:rFonts w:ascii="Book Antiqua" w:hAnsi="Book Antiqua"/>
          <w:sz w:val="22"/>
          <w:szCs w:val="22"/>
        </w:rPr>
        <w:t>on</w:t>
      </w:r>
      <w:r w:rsidRPr="00A661A5">
        <w:rPr>
          <w:rStyle w:val="st"/>
          <w:rFonts w:ascii="Book Antiqua" w:hAnsi="Book Antiqua"/>
          <w:sz w:val="22"/>
          <w:szCs w:val="22"/>
        </w:rPr>
        <w:t xml:space="preserve"> race, gender or sexual orientation, but it will not compensate individual victims.</w:t>
      </w:r>
      <w:r w:rsidRPr="00A661A5">
        <w:rPr>
          <w:rFonts w:ascii="Book Antiqua" w:hAnsi="Book Antiqua"/>
          <w:sz w:val="22"/>
          <w:szCs w:val="22"/>
        </w:rPr>
        <w:t xml:space="preserve"> Former Governor-General, Rt Hon Sir Anand Satyanand, will chair the Commission and Mervin Singham has been appointed Executive Director.</w:t>
      </w:r>
      <w:r w:rsidRPr="00A661A5">
        <w:rPr>
          <w:rStyle w:val="EndnoteTextChar"/>
          <w:rFonts w:ascii="Book Antiqua" w:hAnsi="Book Antiqua"/>
          <w:sz w:val="22"/>
          <w:szCs w:val="22"/>
        </w:rPr>
        <w:t xml:space="preserve"> The terms of reference have still to be set. I</w:t>
      </w:r>
      <w:r w:rsidRPr="00A661A5">
        <w:rPr>
          <w:rStyle w:val="Emphasis"/>
          <w:rFonts w:ascii="Book Antiqua" w:hAnsi="Book Antiqua"/>
          <w:sz w:val="22"/>
          <w:szCs w:val="22"/>
        </w:rPr>
        <w:t>nformation can be found at</w:t>
      </w:r>
      <w:r w:rsidRPr="00A661A5">
        <w:rPr>
          <w:rFonts w:ascii="Book Antiqua" w:hAnsi="Book Antiqua"/>
          <w:i/>
          <w:sz w:val="22"/>
          <w:szCs w:val="22"/>
        </w:rPr>
        <w:t>:</w:t>
      </w:r>
      <w:r w:rsidRPr="00A661A5">
        <w:rPr>
          <w:rFonts w:ascii="Book Antiqua" w:hAnsi="Book Antiqua"/>
          <w:sz w:val="22"/>
          <w:szCs w:val="22"/>
        </w:rPr>
        <w:t xml:space="preserve"> </w:t>
      </w:r>
      <w:hyperlink r:id="rId13" w:history="1">
        <w:r w:rsidRPr="00A661A5">
          <w:rPr>
            <w:rStyle w:val="Hyperlink"/>
            <w:rFonts w:ascii="Book Antiqua" w:hAnsi="Book Antiqua"/>
            <w:sz w:val="22"/>
            <w:szCs w:val="22"/>
          </w:rPr>
          <w:t>http://www.dia.govt.nz/Royal-Commission-into-Historical-Abuse-in-State-Care</w:t>
        </w:r>
      </w:hyperlink>
    </w:p>
    <w:p w14:paraId="1CB9BE62" w14:textId="77777777" w:rsidR="003A509F" w:rsidRDefault="003A509F" w:rsidP="00A661A5">
      <w:pPr>
        <w:spacing w:line="276" w:lineRule="auto"/>
        <w:outlineLvl w:val="0"/>
        <w:rPr>
          <w:rFonts w:ascii="Book Antiqua" w:hAnsi="Book Antiqua" w:cstheme="majorHAnsi"/>
          <w:sz w:val="22"/>
        </w:rPr>
      </w:pPr>
    </w:p>
    <w:p w14:paraId="66764728" w14:textId="77777777" w:rsidR="007700E3" w:rsidRDefault="007700E3" w:rsidP="00A661A5">
      <w:pPr>
        <w:spacing w:line="276" w:lineRule="auto"/>
        <w:outlineLvl w:val="0"/>
        <w:rPr>
          <w:rFonts w:ascii="Book Antiqua" w:hAnsi="Book Antiqua" w:cstheme="majorHAnsi"/>
          <w:sz w:val="22"/>
        </w:rPr>
      </w:pPr>
    </w:p>
    <w:p w14:paraId="7751B648" w14:textId="77777777" w:rsidR="00E653F1" w:rsidRPr="00E653F1" w:rsidRDefault="00332705" w:rsidP="00A661A5">
      <w:pPr>
        <w:pStyle w:val="Heading1"/>
        <w:spacing w:after="200" w:line="276" w:lineRule="auto"/>
        <w:rPr>
          <w:rFonts w:ascii="Book Antiqua" w:hAnsi="Book Antiqua"/>
          <w:color w:val="1F497D" w:themeColor="text2"/>
          <w:sz w:val="40"/>
        </w:rPr>
      </w:pPr>
      <w:bookmarkStart w:id="13" w:name="_Ref482571278"/>
      <w:bookmarkStart w:id="14" w:name="_Toc492298411"/>
      <w:r w:rsidRPr="00076A5A">
        <w:rPr>
          <w:rFonts w:ascii="Book Antiqua" w:hAnsi="Book Antiqua"/>
          <w:color w:val="1F497D" w:themeColor="text2"/>
          <w:sz w:val="40"/>
        </w:rPr>
        <w:t>I</w:t>
      </w:r>
      <w:r w:rsidR="00773B64" w:rsidRPr="00076A5A">
        <w:rPr>
          <w:rFonts w:ascii="Book Antiqua" w:hAnsi="Book Antiqua"/>
          <w:caps w:val="0"/>
          <w:color w:val="1F497D" w:themeColor="text2"/>
          <w:sz w:val="40"/>
        </w:rPr>
        <w:t>nternational</w:t>
      </w:r>
      <w:r w:rsidRPr="00076A5A">
        <w:rPr>
          <w:rFonts w:ascii="Book Antiqua" w:hAnsi="Book Antiqua"/>
          <w:color w:val="1F497D" w:themeColor="text2"/>
          <w:sz w:val="40"/>
        </w:rPr>
        <w:t xml:space="preserve"> </w:t>
      </w:r>
      <w:r w:rsidR="00773B64" w:rsidRPr="00076A5A">
        <w:rPr>
          <w:rFonts w:ascii="Book Antiqua" w:hAnsi="Book Antiqua"/>
          <w:caps w:val="0"/>
          <w:color w:val="1F497D" w:themeColor="text2"/>
          <w:sz w:val="40"/>
        </w:rPr>
        <w:t>update</w:t>
      </w:r>
      <w:bookmarkEnd w:id="13"/>
      <w:bookmarkEnd w:id="14"/>
    </w:p>
    <w:p w14:paraId="62E690AE" w14:textId="77777777" w:rsidR="00DB2D1E" w:rsidRPr="00961CDE" w:rsidRDefault="00DB2D1E" w:rsidP="00A661A5">
      <w:pPr>
        <w:pStyle w:val="Heading2"/>
        <w:spacing w:line="276" w:lineRule="auto"/>
        <w:rPr>
          <w:rFonts w:ascii="Book Antiqua" w:hAnsi="Book Antiqua"/>
          <w:sz w:val="22"/>
          <w:szCs w:val="22"/>
        </w:rPr>
      </w:pPr>
      <w:r w:rsidRPr="00961CDE">
        <w:rPr>
          <w:rFonts w:ascii="Book Antiqua" w:hAnsi="Book Antiqua"/>
          <w:sz w:val="22"/>
          <w:szCs w:val="22"/>
        </w:rPr>
        <w:t xml:space="preserve">Examination on New Zealand’s performance under ICESCR </w:t>
      </w:r>
    </w:p>
    <w:p w14:paraId="51AAA072" w14:textId="61F9DA2A" w:rsidR="00520471" w:rsidRPr="00961CDE" w:rsidRDefault="00DB2D1E" w:rsidP="00A661A5">
      <w:pPr>
        <w:pStyle w:val="NormalWeb"/>
        <w:spacing w:line="276" w:lineRule="auto"/>
        <w:rPr>
          <w:rFonts w:ascii="Book Antiqua" w:hAnsi="Book Antiqua"/>
          <w:sz w:val="22"/>
          <w:szCs w:val="22"/>
        </w:rPr>
      </w:pPr>
      <w:r w:rsidRPr="00961CDE">
        <w:rPr>
          <w:rFonts w:ascii="Book Antiqua" w:hAnsi="Book Antiqua"/>
          <w:sz w:val="22"/>
          <w:szCs w:val="22"/>
        </w:rPr>
        <w:t xml:space="preserve">The New Zealand Government submitted their </w:t>
      </w:r>
      <w:hyperlink r:id="rId14" w:history="1">
        <w:r w:rsidRPr="00961CDE">
          <w:rPr>
            <w:rStyle w:val="Hyperlink"/>
            <w:rFonts w:ascii="Book Antiqua" w:hAnsi="Book Antiqua"/>
            <w:sz w:val="22"/>
            <w:szCs w:val="22"/>
          </w:rPr>
          <w:t>report</w:t>
        </w:r>
      </w:hyperlink>
      <w:r w:rsidRPr="00961CDE">
        <w:rPr>
          <w:rFonts w:ascii="Book Antiqua" w:hAnsi="Book Antiqua"/>
          <w:sz w:val="22"/>
          <w:szCs w:val="22"/>
        </w:rPr>
        <w:t xml:space="preserve"> to the ICESCR Committee in May 2017. The examination was scheduled for March 2018. </w:t>
      </w:r>
      <w:r w:rsidR="00961CDE">
        <w:rPr>
          <w:rFonts w:ascii="Book Antiqua" w:hAnsi="Book Antiqua"/>
          <w:sz w:val="22"/>
          <w:szCs w:val="22"/>
        </w:rPr>
        <w:br/>
      </w:r>
    </w:p>
    <w:p w14:paraId="21443B7B" w14:textId="2001C506" w:rsidR="00520471" w:rsidRDefault="00DB2D1E" w:rsidP="00A661A5">
      <w:pPr>
        <w:pStyle w:val="Heading2"/>
        <w:spacing w:line="276" w:lineRule="auto"/>
        <w:rPr>
          <w:rFonts w:ascii="Book Antiqua" w:hAnsi="Book Antiqua"/>
          <w:sz w:val="22"/>
          <w:szCs w:val="22"/>
        </w:rPr>
      </w:pPr>
      <w:r w:rsidRPr="00961CDE">
        <w:rPr>
          <w:rFonts w:ascii="Book Antiqua" w:hAnsi="Book Antiqua"/>
          <w:sz w:val="22"/>
          <w:szCs w:val="22"/>
        </w:rPr>
        <w:t>List of Issues – CRPD</w:t>
      </w:r>
    </w:p>
    <w:p w14:paraId="7EF040FB" w14:textId="77777777" w:rsidR="00961CDE" w:rsidRPr="00961CDE" w:rsidRDefault="00961CDE" w:rsidP="00A661A5">
      <w:pPr>
        <w:spacing w:line="276" w:lineRule="auto"/>
      </w:pPr>
    </w:p>
    <w:p w14:paraId="0BB0188B" w14:textId="77777777" w:rsidR="00DB2D1E" w:rsidRPr="00961CDE" w:rsidRDefault="00DB2D1E" w:rsidP="00A661A5">
      <w:pPr>
        <w:spacing w:line="276" w:lineRule="auto"/>
        <w:rPr>
          <w:rFonts w:ascii="Book Antiqua" w:hAnsi="Book Antiqua"/>
          <w:sz w:val="22"/>
          <w:szCs w:val="22"/>
        </w:rPr>
      </w:pPr>
      <w:r w:rsidRPr="00961CDE">
        <w:rPr>
          <w:rFonts w:ascii="Book Antiqua" w:hAnsi="Book Antiqua"/>
          <w:sz w:val="22"/>
          <w:szCs w:val="22"/>
        </w:rPr>
        <w:t xml:space="preserve">The Committee on the Rights of Persons with Disabilities has released the list of issues for New Zealand which will form the basis of the examination that is likely to take place in 2019. The list can be found at </w:t>
      </w:r>
      <w:hyperlink r:id="rId15" w:history="1">
        <w:r w:rsidRPr="00961CDE">
          <w:rPr>
            <w:rStyle w:val="Hyperlink"/>
            <w:rFonts w:ascii="Book Antiqua" w:hAnsi="Book Antiqua"/>
            <w:sz w:val="22"/>
            <w:szCs w:val="22"/>
          </w:rPr>
          <w:t>http://tbinternet.ohchr.org/layouts/treatybodyexternal</w:t>
        </w:r>
      </w:hyperlink>
      <w:r w:rsidRPr="00961CDE">
        <w:rPr>
          <w:rFonts w:ascii="Book Antiqua" w:hAnsi="Book Antiqua"/>
          <w:sz w:val="22"/>
          <w:szCs w:val="22"/>
        </w:rPr>
        <w:t>. The Government will now spend the rest of the year developing its response. The committee will then assess New Zealand's progress on implementing the convention, highlighting any areas of concern. Significantly, the Government is asked what measures it has taken to review eligibility criteria for funding family members who care for disabled relatives (see more on this in the case note below). Hopefully this will provide a further impetus to the Minister of Health’s commitment to revisit the current legislation and accompanying policy.</w:t>
      </w:r>
    </w:p>
    <w:p w14:paraId="1B8B1750" w14:textId="77777777" w:rsidR="00DC7D23" w:rsidRDefault="00DC7D23" w:rsidP="00A661A5">
      <w:pPr>
        <w:pStyle w:val="SingleTxtG"/>
        <w:spacing w:after="0" w:line="276" w:lineRule="auto"/>
        <w:ind w:left="0" w:right="-46"/>
        <w:jc w:val="left"/>
        <w:rPr>
          <w:rFonts w:ascii="Book Antiqua" w:hAnsi="Book Antiqua" w:cstheme="majorHAnsi"/>
        </w:rPr>
      </w:pPr>
    </w:p>
    <w:p w14:paraId="6294AD69" w14:textId="77777777" w:rsidR="007700E3" w:rsidRDefault="007700E3" w:rsidP="00A661A5">
      <w:pPr>
        <w:pStyle w:val="SingleTxtG"/>
        <w:spacing w:after="0" w:line="276" w:lineRule="auto"/>
        <w:ind w:left="0" w:right="-46"/>
        <w:jc w:val="left"/>
        <w:rPr>
          <w:rFonts w:ascii="Book Antiqua" w:hAnsi="Book Antiqua" w:cstheme="majorHAnsi"/>
        </w:rPr>
      </w:pPr>
    </w:p>
    <w:p w14:paraId="7CCD73DA" w14:textId="77777777" w:rsidR="007700E3" w:rsidRDefault="007700E3" w:rsidP="00A661A5">
      <w:pPr>
        <w:pStyle w:val="SingleTxtG"/>
        <w:spacing w:after="0" w:line="276" w:lineRule="auto"/>
        <w:ind w:left="0" w:right="-46"/>
        <w:jc w:val="left"/>
        <w:rPr>
          <w:rFonts w:ascii="Book Antiqua" w:hAnsi="Book Antiqua" w:cstheme="majorHAnsi"/>
        </w:rPr>
      </w:pPr>
    </w:p>
    <w:p w14:paraId="70E262CF" w14:textId="77777777" w:rsidR="007700E3" w:rsidRDefault="007700E3" w:rsidP="00A661A5">
      <w:pPr>
        <w:pStyle w:val="SingleTxtG"/>
        <w:spacing w:after="0" w:line="276" w:lineRule="auto"/>
        <w:ind w:left="0" w:right="-46"/>
        <w:jc w:val="left"/>
        <w:rPr>
          <w:rFonts w:ascii="Book Antiqua" w:hAnsi="Book Antiqua" w:cstheme="majorHAnsi"/>
        </w:rPr>
      </w:pPr>
    </w:p>
    <w:p w14:paraId="37F59FB4" w14:textId="77777777" w:rsidR="007700E3" w:rsidRDefault="007700E3" w:rsidP="00A661A5">
      <w:pPr>
        <w:pStyle w:val="SingleTxtG"/>
        <w:spacing w:after="0" w:line="276" w:lineRule="auto"/>
        <w:ind w:left="0" w:right="-46"/>
        <w:jc w:val="left"/>
        <w:rPr>
          <w:rFonts w:ascii="Book Antiqua" w:hAnsi="Book Antiqua" w:cstheme="majorHAnsi"/>
        </w:rPr>
      </w:pPr>
    </w:p>
    <w:p w14:paraId="64FC83A5" w14:textId="77777777" w:rsidR="007700E3" w:rsidRDefault="007700E3" w:rsidP="00A661A5">
      <w:pPr>
        <w:pStyle w:val="SingleTxtG"/>
        <w:spacing w:after="0" w:line="276" w:lineRule="auto"/>
        <w:ind w:left="0" w:right="-46"/>
        <w:jc w:val="left"/>
        <w:rPr>
          <w:rFonts w:ascii="Book Antiqua" w:hAnsi="Book Antiqua" w:cstheme="majorHAnsi"/>
        </w:rPr>
      </w:pPr>
    </w:p>
    <w:p w14:paraId="4653472E" w14:textId="77777777" w:rsidR="007700E3" w:rsidRDefault="007700E3" w:rsidP="00A661A5">
      <w:pPr>
        <w:pStyle w:val="SingleTxtG"/>
        <w:spacing w:after="0" w:line="276" w:lineRule="auto"/>
        <w:ind w:left="0" w:right="-46"/>
        <w:jc w:val="left"/>
        <w:rPr>
          <w:rFonts w:ascii="Book Antiqua" w:hAnsi="Book Antiqua" w:cstheme="majorHAnsi"/>
        </w:rPr>
      </w:pPr>
    </w:p>
    <w:p w14:paraId="03DE7B51" w14:textId="77777777" w:rsidR="007700E3" w:rsidRDefault="007700E3" w:rsidP="00A661A5">
      <w:pPr>
        <w:pStyle w:val="SingleTxtG"/>
        <w:spacing w:after="0" w:line="276" w:lineRule="auto"/>
        <w:ind w:left="0" w:right="-46"/>
        <w:jc w:val="left"/>
        <w:rPr>
          <w:rFonts w:ascii="Book Antiqua" w:hAnsi="Book Antiqua" w:cstheme="majorHAnsi"/>
        </w:rPr>
      </w:pPr>
    </w:p>
    <w:p w14:paraId="092D9078" w14:textId="77777777" w:rsidR="007700E3" w:rsidRDefault="007700E3" w:rsidP="00A661A5">
      <w:pPr>
        <w:pStyle w:val="SingleTxtG"/>
        <w:spacing w:after="0" w:line="276" w:lineRule="auto"/>
        <w:ind w:left="0" w:right="-46"/>
        <w:jc w:val="left"/>
        <w:rPr>
          <w:rFonts w:ascii="Book Antiqua" w:hAnsi="Book Antiqua" w:cstheme="majorHAnsi"/>
        </w:rPr>
      </w:pPr>
    </w:p>
    <w:p w14:paraId="340C0E5B" w14:textId="77777777" w:rsidR="007700E3" w:rsidRDefault="007700E3" w:rsidP="00A661A5">
      <w:pPr>
        <w:pStyle w:val="SingleTxtG"/>
        <w:spacing w:after="0" w:line="276" w:lineRule="auto"/>
        <w:ind w:left="0" w:right="-46"/>
        <w:jc w:val="left"/>
        <w:rPr>
          <w:rFonts w:ascii="Book Antiqua" w:hAnsi="Book Antiqua" w:cstheme="majorHAnsi"/>
        </w:rPr>
      </w:pPr>
    </w:p>
    <w:p w14:paraId="4D8F8CD4" w14:textId="77777777" w:rsidR="007700E3" w:rsidRDefault="007700E3" w:rsidP="00A661A5">
      <w:pPr>
        <w:pStyle w:val="SingleTxtG"/>
        <w:spacing w:after="0" w:line="276" w:lineRule="auto"/>
        <w:ind w:left="0" w:right="-46"/>
        <w:jc w:val="left"/>
        <w:rPr>
          <w:rFonts w:ascii="Book Antiqua" w:hAnsi="Book Antiqua" w:cstheme="majorHAnsi"/>
        </w:rPr>
      </w:pPr>
    </w:p>
    <w:p w14:paraId="171A7DB4" w14:textId="77777777" w:rsidR="007700E3" w:rsidRDefault="007700E3" w:rsidP="00A661A5">
      <w:pPr>
        <w:pStyle w:val="SingleTxtG"/>
        <w:spacing w:after="0" w:line="276" w:lineRule="auto"/>
        <w:ind w:left="0" w:right="-46"/>
        <w:jc w:val="left"/>
        <w:rPr>
          <w:rFonts w:ascii="Book Antiqua" w:hAnsi="Book Antiqua" w:cstheme="majorHAnsi"/>
        </w:rPr>
      </w:pPr>
    </w:p>
    <w:p w14:paraId="6E553050" w14:textId="77777777" w:rsidR="007700E3" w:rsidRDefault="007700E3" w:rsidP="00A661A5">
      <w:pPr>
        <w:pStyle w:val="SingleTxtG"/>
        <w:spacing w:after="0" w:line="276" w:lineRule="auto"/>
        <w:ind w:left="0" w:right="-46"/>
        <w:jc w:val="left"/>
        <w:rPr>
          <w:rFonts w:ascii="Book Antiqua" w:hAnsi="Book Antiqua" w:cstheme="majorHAnsi"/>
        </w:rPr>
      </w:pPr>
    </w:p>
    <w:p w14:paraId="552B69AB" w14:textId="77777777" w:rsidR="007700E3" w:rsidRDefault="007700E3" w:rsidP="00A661A5">
      <w:pPr>
        <w:pStyle w:val="SingleTxtG"/>
        <w:spacing w:after="0" w:line="276" w:lineRule="auto"/>
        <w:ind w:left="0" w:right="-46"/>
        <w:jc w:val="left"/>
        <w:rPr>
          <w:rFonts w:ascii="Book Antiqua" w:hAnsi="Book Antiqua" w:cstheme="majorHAnsi"/>
        </w:rPr>
      </w:pPr>
    </w:p>
    <w:p w14:paraId="571F99B7" w14:textId="77777777" w:rsidR="000D3175" w:rsidRDefault="000D3175" w:rsidP="00A661A5">
      <w:pPr>
        <w:spacing w:line="276" w:lineRule="auto"/>
        <w:rPr>
          <w:rFonts w:ascii="Book Antiqua" w:hAnsi="Book Antiqua" w:cstheme="majorHAnsi"/>
          <w:b/>
        </w:rPr>
      </w:pPr>
    </w:p>
    <w:p w14:paraId="17D0CEA4" w14:textId="77777777" w:rsidR="00BA364C" w:rsidRPr="004C0913" w:rsidRDefault="00BA364C" w:rsidP="00A661A5">
      <w:pPr>
        <w:pStyle w:val="Heading1"/>
        <w:spacing w:line="276" w:lineRule="auto"/>
        <w:rPr>
          <w:rFonts w:ascii="Book Antiqua" w:hAnsi="Book Antiqua"/>
          <w:color w:val="1F497D" w:themeColor="text2"/>
          <w:sz w:val="40"/>
        </w:rPr>
      </w:pPr>
      <w:bookmarkStart w:id="15" w:name="_Ref482571288"/>
      <w:bookmarkStart w:id="16" w:name="_Toc492298412"/>
      <w:r w:rsidRPr="004C0913">
        <w:rPr>
          <w:rFonts w:ascii="Book Antiqua" w:hAnsi="Book Antiqua"/>
          <w:color w:val="1F497D" w:themeColor="text2"/>
          <w:sz w:val="40"/>
        </w:rPr>
        <w:t>R</w:t>
      </w:r>
      <w:r w:rsidR="00C90C51" w:rsidRPr="004C0913">
        <w:rPr>
          <w:rFonts w:ascii="Book Antiqua" w:hAnsi="Book Antiqua"/>
          <w:caps w:val="0"/>
          <w:color w:val="1F497D" w:themeColor="text2"/>
          <w:sz w:val="40"/>
        </w:rPr>
        <w:t>ecent</w:t>
      </w:r>
      <w:r w:rsidRPr="004C0913">
        <w:rPr>
          <w:rFonts w:ascii="Book Antiqua" w:hAnsi="Book Antiqua"/>
          <w:color w:val="1F497D" w:themeColor="text2"/>
          <w:sz w:val="40"/>
        </w:rPr>
        <w:t xml:space="preserve"> </w:t>
      </w:r>
      <w:r w:rsidR="00C90C51" w:rsidRPr="004C0913">
        <w:rPr>
          <w:rFonts w:ascii="Book Antiqua" w:hAnsi="Book Antiqua"/>
          <w:caps w:val="0"/>
          <w:color w:val="1F497D" w:themeColor="text2"/>
          <w:sz w:val="40"/>
        </w:rPr>
        <w:t>cases</w:t>
      </w:r>
      <w:bookmarkEnd w:id="15"/>
      <w:bookmarkEnd w:id="16"/>
    </w:p>
    <w:p w14:paraId="4094328F" w14:textId="77777777" w:rsidR="006504F3" w:rsidRDefault="006504F3" w:rsidP="00A661A5">
      <w:pPr>
        <w:spacing w:line="276" w:lineRule="auto"/>
        <w:rPr>
          <w:rFonts w:ascii="Book Antiqua" w:hAnsi="Book Antiqua" w:cstheme="majorHAnsi"/>
          <w:sz w:val="22"/>
          <w:szCs w:val="22"/>
        </w:rPr>
      </w:pPr>
    </w:p>
    <w:p w14:paraId="5BBD9513" w14:textId="03CC4A37" w:rsidR="00C34CA7" w:rsidRPr="007700E3" w:rsidRDefault="00DB2D1E" w:rsidP="007700E3">
      <w:pPr>
        <w:pStyle w:val="Heading2"/>
        <w:spacing w:line="276" w:lineRule="auto"/>
        <w:rPr>
          <w:rFonts w:ascii="Book Antiqua" w:hAnsi="Book Antiqua"/>
          <w:sz w:val="24"/>
          <w:szCs w:val="24"/>
          <w:lang w:val="en-NZ"/>
        </w:rPr>
      </w:pPr>
      <w:bookmarkStart w:id="17" w:name="_S_v_Attorney-General"/>
      <w:bookmarkEnd w:id="17"/>
      <w:r w:rsidRPr="00322881">
        <w:rPr>
          <w:rFonts w:ascii="Book Antiqua" w:hAnsi="Book Antiqua"/>
          <w:i/>
          <w:sz w:val="24"/>
          <w:szCs w:val="24"/>
          <w:lang w:val="en-NZ"/>
        </w:rPr>
        <w:t>Dotcom v Crown Law Office</w:t>
      </w:r>
      <w:r w:rsidRPr="00322881">
        <w:rPr>
          <w:rFonts w:ascii="Book Antiqua" w:hAnsi="Book Antiqua"/>
          <w:sz w:val="24"/>
          <w:szCs w:val="24"/>
          <w:lang w:val="en-NZ"/>
        </w:rPr>
        <w:t xml:space="preserve"> [2018] NZHRRT 7 </w:t>
      </w:r>
    </w:p>
    <w:p w14:paraId="1CDCA712" w14:textId="5A9E3B5C" w:rsidR="00924EFB" w:rsidRPr="00C34CA7" w:rsidRDefault="00DB2D1E" w:rsidP="00A661A5">
      <w:pPr>
        <w:pStyle w:val="Body-HumanRightsCentreBulletin"/>
        <w:jc w:val="both"/>
        <w:rPr>
          <w:i/>
          <w:iCs/>
          <w:sz w:val="24"/>
          <w:szCs w:val="24"/>
          <w:lang w:val="en-NZ"/>
        </w:rPr>
      </w:pPr>
      <w:r w:rsidRPr="00C34CA7">
        <w:rPr>
          <w:i/>
          <w:iCs/>
          <w:sz w:val="24"/>
          <w:szCs w:val="24"/>
          <w:lang w:val="en-NZ"/>
        </w:rPr>
        <w:t>the right to information</w:t>
      </w:r>
    </w:p>
    <w:p w14:paraId="1924A2F2" w14:textId="77777777" w:rsidR="00E4737A" w:rsidRPr="00E4737A" w:rsidRDefault="00E4737A" w:rsidP="00A661A5">
      <w:pPr>
        <w:pStyle w:val="Body-HumanRightsCentreBulletin"/>
        <w:jc w:val="both"/>
      </w:pPr>
    </w:p>
    <w:p w14:paraId="30B323A4" w14:textId="77777777" w:rsidR="00DB2D1E" w:rsidRDefault="00DB2D1E" w:rsidP="00A661A5">
      <w:pPr>
        <w:spacing w:line="276" w:lineRule="auto"/>
        <w:rPr>
          <w:rFonts w:ascii="Times New Roman" w:hAnsi="Times New Roman"/>
        </w:rPr>
      </w:pPr>
      <w:bookmarkStart w:id="18" w:name="_Smith_v_Attorney-General"/>
      <w:bookmarkStart w:id="19" w:name="_Smith_v_Attorney-General_1"/>
      <w:bookmarkEnd w:id="18"/>
      <w:bookmarkEnd w:id="19"/>
      <w:r>
        <w:rPr>
          <w:rFonts w:ascii="Times New Roman" w:hAnsi="Times New Roman"/>
        </w:rPr>
        <w:t xml:space="preserve">The Tribunal has issued a lengthy in-depth, useful decision about the conditions under which the Crown should release information held about individuals. The case involves Kim Dotcom and is part of his now lengthy litigation resisting extradition to the United States on copyright charges. </w:t>
      </w:r>
    </w:p>
    <w:p w14:paraId="2D8BD1C4" w14:textId="77777777" w:rsidR="00E4737A" w:rsidRDefault="00E4737A" w:rsidP="00A661A5">
      <w:pPr>
        <w:spacing w:line="276" w:lineRule="auto"/>
        <w:rPr>
          <w:rFonts w:ascii="Times New Roman" w:hAnsi="Times New Roman"/>
        </w:rPr>
      </w:pPr>
    </w:p>
    <w:p w14:paraId="636B05C5" w14:textId="77777777" w:rsidR="00DB2D1E" w:rsidRDefault="00DB2D1E" w:rsidP="00A661A5">
      <w:pPr>
        <w:spacing w:line="276" w:lineRule="auto"/>
        <w:rPr>
          <w:rFonts w:ascii="Times New Roman" w:hAnsi="Times New Roman"/>
        </w:rPr>
      </w:pPr>
      <w:r>
        <w:rPr>
          <w:rFonts w:ascii="Times New Roman" w:hAnsi="Times New Roman"/>
        </w:rPr>
        <w:t>In July 2015 Mr Dotcom sent an information privacy request to all Ministers of the Crown and nearly every government department. The requests sought access to all personal information held about him. It sought the material under urgency claiming the material was for “pending legal action”. Most of the requests were transferred to the Attorney General who declined the information under the Privacy Act on the ground that they were vexatious and included trivial information. The main issue was whether there had been an invasion of his privacy under s.66 of the Privacy Act and, in particular, if s.39 allowed the Attorney General to transfer the request and if so, whether there was a proper basis for declining under s.66(2)(b).</w:t>
      </w:r>
    </w:p>
    <w:p w14:paraId="67FB1A5A" w14:textId="77777777" w:rsidR="00E4737A" w:rsidRDefault="00E4737A" w:rsidP="00A661A5">
      <w:pPr>
        <w:spacing w:line="276" w:lineRule="auto"/>
        <w:rPr>
          <w:rFonts w:ascii="Times New Roman" w:hAnsi="Times New Roman"/>
        </w:rPr>
      </w:pPr>
    </w:p>
    <w:p w14:paraId="1BC94371" w14:textId="77777777" w:rsidR="00DB2D1E" w:rsidRDefault="00DB2D1E" w:rsidP="00A661A5">
      <w:pPr>
        <w:spacing w:line="276" w:lineRule="auto"/>
        <w:rPr>
          <w:rFonts w:ascii="Times New Roman" w:hAnsi="Times New Roman"/>
        </w:rPr>
      </w:pPr>
      <w:r>
        <w:rPr>
          <w:rFonts w:ascii="Times New Roman" w:hAnsi="Times New Roman"/>
        </w:rPr>
        <w:t xml:space="preserve">The Crown maintained the requests were vexatious. In a letter sent to the Privacy Commissioner, the Solicitor-General described them as a “litigation tactic” and a fishing expedition. Mr Dotcom denied this, claiming he had no ulterior motive and that he simply wanted to see the material and decide whether it was relevant to the extradition proceedings. The Tribunal found that the transfer was not permissible and there was no proper basis for declining access. </w:t>
      </w:r>
    </w:p>
    <w:p w14:paraId="272ED9D8" w14:textId="77777777" w:rsidR="00E4737A" w:rsidRDefault="00E4737A" w:rsidP="00A661A5">
      <w:pPr>
        <w:spacing w:line="276" w:lineRule="auto"/>
        <w:rPr>
          <w:rFonts w:ascii="Times New Roman" w:hAnsi="Times New Roman"/>
        </w:rPr>
      </w:pPr>
    </w:p>
    <w:p w14:paraId="132CF69B" w14:textId="77777777" w:rsidR="00DB2D1E" w:rsidRDefault="00DB2D1E" w:rsidP="00A661A5">
      <w:pPr>
        <w:spacing w:line="276" w:lineRule="auto"/>
        <w:rPr>
          <w:rFonts w:ascii="Times New Roman" w:hAnsi="Times New Roman"/>
        </w:rPr>
      </w:pPr>
      <w:r>
        <w:rPr>
          <w:rFonts w:ascii="Times New Roman" w:hAnsi="Times New Roman"/>
        </w:rPr>
        <w:t>In reaching his decision the Chair of the Tribunal canvassed the history of Mr Dotcom’s attempts to access the information beginning with the District Court extradition proceedings when he sought disclosure on similar grounds to those involved in domestic criminal proceedings. Both the District Court and the High Court allowed it but the decision was overturned by the Court of Appeal (an appeal to the Supreme Court was unsuccessful). Rather than broad disclosure being ordered by the Court, the correct way of accessing the information was by Mr Dotcom seeking the information form the relevant agencies himself. So he tried. In July 2015 he sent a pro forma letter to most government departments which were in turn transferred to the Attorney-General and then declined by the Solicitor General who claimed the requests were vexatious.</w:t>
      </w:r>
    </w:p>
    <w:p w14:paraId="4B680391" w14:textId="77777777" w:rsidR="00E4737A" w:rsidRDefault="00E4737A" w:rsidP="00A661A5">
      <w:pPr>
        <w:spacing w:line="276" w:lineRule="auto"/>
        <w:rPr>
          <w:rFonts w:ascii="Times New Roman" w:hAnsi="Times New Roman"/>
        </w:rPr>
      </w:pPr>
    </w:p>
    <w:p w14:paraId="3EFD66C2" w14:textId="77777777" w:rsidR="00DB2D1E" w:rsidRDefault="00DB2D1E" w:rsidP="00A661A5">
      <w:pPr>
        <w:spacing w:line="276" w:lineRule="auto"/>
        <w:rPr>
          <w:rFonts w:ascii="Times New Roman" w:hAnsi="Times New Roman"/>
        </w:rPr>
      </w:pPr>
      <w:r>
        <w:rPr>
          <w:rFonts w:ascii="Times New Roman" w:hAnsi="Times New Roman"/>
        </w:rPr>
        <w:t xml:space="preserve">The transfer was challenged by Mr Dotcom’s lawyer who argued that, while it might be appropriate to seek legal advice from Crown Law, the Attorney-General could not lawfully decline the requests. The Crown denied that the decision to transfer the requests was at the behest of the Attorney-General but rather by individuals within the agencies who had received the requests. Ironically, the Tribunal found itself unable to decide whether this was, in fact, the case because the Crown claimed the exchanges were privileged. </w:t>
      </w:r>
    </w:p>
    <w:p w14:paraId="705DB22E" w14:textId="77777777" w:rsidR="00E4737A" w:rsidRDefault="00E4737A" w:rsidP="00A661A5">
      <w:pPr>
        <w:spacing w:line="276" w:lineRule="auto"/>
        <w:rPr>
          <w:rFonts w:ascii="Times New Roman" w:hAnsi="Times New Roman"/>
        </w:rPr>
      </w:pPr>
    </w:p>
    <w:p w14:paraId="27FF0F63" w14:textId="73FC2C66" w:rsidR="00C34CA7" w:rsidRDefault="00B04082" w:rsidP="00A661A5">
      <w:pPr>
        <w:spacing w:line="276" w:lineRule="auto"/>
        <w:rPr>
          <w:rFonts w:ascii="Times New Roman" w:hAnsi="Times New Roman"/>
        </w:rPr>
      </w:pPr>
      <w:r>
        <w:rPr>
          <w:rFonts w:ascii="Times New Roman" w:hAnsi="Times New Roman"/>
        </w:rPr>
        <w:t>The Tribunal did,</w:t>
      </w:r>
      <w:r w:rsidR="00DB2D1E">
        <w:rPr>
          <w:rFonts w:ascii="Times New Roman" w:hAnsi="Times New Roman"/>
        </w:rPr>
        <w:t xml:space="preserve">have to decide whether the Attorney-General was the lawful transferee. Crown Law argued that, as legal adviser to the government, it was entitled to respond to what were a set of “difficult requests”: at [56.2]. The Tribunal concluded that the decisions to transfer the requests and to decline the information were made for reasons unrelated to assessing the actual information but rather because the Crown had decided that the requests were a litigation tactic: at [67]. Overall, the Tribunal concluded that the relevant provision of the Privacy Act [s.39(b)(ii)] did not allow the requests to be transferred simply to obtain legal advice or co-ordinate a consistent response to the requests as part of the Crown’s litigation strategy. The information to which the requests related was not more closely connected with the functions and activities of the Attorney-General than those of the transferring agencies and the Attorney-General had no authority to refuse to disclose the requested information. </w:t>
      </w:r>
      <w:r>
        <w:rPr>
          <w:rFonts w:ascii="Times New Roman" w:hAnsi="Times New Roman"/>
        </w:rPr>
        <w:t>I</w:t>
      </w:r>
      <w:r w:rsidR="00DB2D1E">
        <w:rPr>
          <w:rFonts w:ascii="Times New Roman" w:hAnsi="Times New Roman"/>
        </w:rPr>
        <w:t>t was made clear that despite this the decision was going to be declined anyway: at [109]. This led the Tribunal to observe that accepting that a decision made unlawfully had the same status as one made within the law required a “good deal of cynicism as to the importance of state agencies and of state decision-makers acting within the law. Sight must not be lost of the principle that those who seek to uphold the law must themselves obey it. There is, it observed, a substantial public interest in statutory decision makers making their decisions in accordance with, rather than in disregard, of the law”: at [110]</w:t>
      </w:r>
      <w:r w:rsidR="00C34CA7">
        <w:rPr>
          <w:rFonts w:ascii="Times New Roman" w:hAnsi="Times New Roman"/>
        </w:rPr>
        <w:t>.</w:t>
      </w:r>
      <w:r w:rsidR="00DB2D1E">
        <w:rPr>
          <w:rFonts w:ascii="Times New Roman" w:hAnsi="Times New Roman"/>
        </w:rPr>
        <w:t xml:space="preserve">    </w:t>
      </w:r>
    </w:p>
    <w:p w14:paraId="1A5C0123" w14:textId="7EFE0F9E" w:rsidR="00DB2D1E" w:rsidRDefault="00DB2D1E" w:rsidP="00A661A5">
      <w:pPr>
        <w:spacing w:line="276" w:lineRule="auto"/>
        <w:rPr>
          <w:rFonts w:ascii="Times New Roman" w:hAnsi="Times New Roman"/>
        </w:rPr>
      </w:pPr>
      <w:r>
        <w:rPr>
          <w:rFonts w:ascii="Times New Roman" w:hAnsi="Times New Roman"/>
        </w:rPr>
        <w:t xml:space="preserve">     </w:t>
      </w:r>
    </w:p>
    <w:p w14:paraId="56A45B54" w14:textId="77777777" w:rsidR="00DB2D1E" w:rsidRDefault="00DB2D1E" w:rsidP="00A661A5">
      <w:pPr>
        <w:spacing w:line="276" w:lineRule="auto"/>
        <w:rPr>
          <w:rFonts w:ascii="Times New Roman" w:hAnsi="Times New Roman"/>
        </w:rPr>
      </w:pPr>
      <w:r>
        <w:rPr>
          <w:rFonts w:ascii="Times New Roman" w:hAnsi="Times New Roman"/>
        </w:rPr>
        <w:t xml:space="preserve">As noted already the Crown claimed that Mr Dotcom’s requests were vexatious because they were sought under urgency and covered such a broad area that they inevitably included material that was trivial – although how he could have known this if he didn’t know what personal information the departments held rather confounded the issue. The Crown also alleged the requests were not genuine and designed principally to disrupt the extradition hearing. The burden of establishing this lies on the Crown. The Tribunal found that, contrary to the Crown’s assertion, Mr Dotcom had discharged the necessary burden and established the requests were entirely legitimate and not designed to disrupt the extradition hearing: at [143]. </w:t>
      </w:r>
    </w:p>
    <w:p w14:paraId="625812C1" w14:textId="77777777" w:rsidR="00C34CA7" w:rsidRDefault="00C34CA7" w:rsidP="00A661A5">
      <w:pPr>
        <w:spacing w:line="276" w:lineRule="auto"/>
        <w:rPr>
          <w:rFonts w:ascii="Times New Roman" w:hAnsi="Times New Roman"/>
        </w:rPr>
      </w:pPr>
    </w:p>
    <w:p w14:paraId="7A508785" w14:textId="77777777" w:rsidR="00DB2D1E" w:rsidRDefault="00DB2D1E" w:rsidP="00A661A5">
      <w:pPr>
        <w:spacing w:line="276" w:lineRule="auto"/>
        <w:rPr>
          <w:rFonts w:ascii="Times New Roman" w:hAnsi="Times New Roman"/>
        </w:rPr>
      </w:pPr>
      <w:r>
        <w:rPr>
          <w:rFonts w:ascii="Times New Roman" w:hAnsi="Times New Roman"/>
        </w:rPr>
        <w:t>In deciding whether the requests were vexatious in the context of the Privacy Act, the Tribunal considered that there must be an element of impropriety to the request. Deciding whether this is so must be assessed objectively. Whether a request is vexatious, is highly fact specific and contextual. Under the Privacy Act no reason needs to be given to justify a request for personal information – unlike under civil and criminal discovery where the relevance of the requested information is of critical importance to the obligation to disclose: at [166]. As we have noted already in relation to the question of triviality, if Mr Dotcom had not been given access to the material, he could not know whether it was relevant to his extradition. As the Tribunal observed “To require him to first establish relevance before being given access to the information turns the Privacy Act upside down and renders illusory the legal right of access to personal information held by state agencies”: at [173]. As for the scope and volume of the requests, any information that is not personal information can be simply disregarded, while the breadth of a request is regulated by the inbuilt statutory limitation that the information is readily retrievable. The requests by Mr Dotcom were not in any way out of the ordinary; there was also no merit in the Crown’s argument that Mr Dotcom had a long history of making request under the Privacy and Official Information Acts; that he had delayed unduly in making the requests; there was no proper basis for requesting urgency and he refused to engage in a co-operative way. The Tribunal concluded that there was no proper basis for refusing to provide the information. Assessing the circumstances objectively and on the facts known at the time, there no reasonably justifiable basis for the refusal decision: at [202]. It followed that there had been an interference with the privacy of Mr Dotcom.</w:t>
      </w:r>
    </w:p>
    <w:p w14:paraId="400F88F5" w14:textId="77777777" w:rsidR="00C34CA7" w:rsidRDefault="00C34CA7" w:rsidP="00A661A5">
      <w:pPr>
        <w:spacing w:line="276" w:lineRule="auto"/>
        <w:rPr>
          <w:rFonts w:ascii="Times New Roman" w:hAnsi="Times New Roman"/>
        </w:rPr>
      </w:pPr>
    </w:p>
    <w:p w14:paraId="7E6BE9A1" w14:textId="77777777" w:rsidR="00DB2D1E" w:rsidRDefault="00DB2D1E" w:rsidP="00A661A5">
      <w:pPr>
        <w:spacing w:line="276" w:lineRule="auto"/>
        <w:rPr>
          <w:rFonts w:ascii="Times New Roman" w:hAnsi="Times New Roman"/>
        </w:rPr>
      </w:pPr>
      <w:r>
        <w:rPr>
          <w:rFonts w:ascii="Times New Roman" w:hAnsi="Times New Roman"/>
        </w:rPr>
        <w:t xml:space="preserve">This gave the Tribunal the right to award a remedy. Mr Dotcom had sought: </w:t>
      </w:r>
    </w:p>
    <w:p w14:paraId="67D46588" w14:textId="77777777" w:rsidR="00C34CA7" w:rsidRDefault="00C34CA7" w:rsidP="00A661A5">
      <w:pPr>
        <w:spacing w:line="276" w:lineRule="auto"/>
        <w:rPr>
          <w:rFonts w:ascii="Times New Roman" w:hAnsi="Times New Roman"/>
        </w:rPr>
      </w:pPr>
    </w:p>
    <w:p w14:paraId="0CEED07C" w14:textId="3482D23F" w:rsidR="00DB2D1E" w:rsidRPr="00C34CA7" w:rsidRDefault="00C34CA7" w:rsidP="00A661A5">
      <w:pPr>
        <w:spacing w:line="276" w:lineRule="auto"/>
        <w:rPr>
          <w:rFonts w:ascii="Times New Roman" w:hAnsi="Times New Roman"/>
        </w:rPr>
      </w:pPr>
      <w:r w:rsidRPr="00C34CA7">
        <w:rPr>
          <w:rFonts w:ascii="Times New Roman" w:hAnsi="Times New Roman"/>
        </w:rPr>
        <w:t>(a</w:t>
      </w:r>
      <w:r>
        <w:rPr>
          <w:rFonts w:ascii="Times New Roman" w:hAnsi="Times New Roman"/>
        </w:rPr>
        <w:t>)</w:t>
      </w:r>
      <w:r>
        <w:rPr>
          <w:rFonts w:ascii="Times New Roman" w:hAnsi="Times New Roman"/>
        </w:rPr>
        <w:tab/>
      </w:r>
      <w:r w:rsidR="00DB2D1E" w:rsidRPr="00C34CA7">
        <w:rPr>
          <w:rFonts w:ascii="Times New Roman" w:hAnsi="Times New Roman"/>
        </w:rPr>
        <w:t>A declaration of interference with his privacy;</w:t>
      </w:r>
    </w:p>
    <w:p w14:paraId="14D197F7" w14:textId="77777777" w:rsidR="00C34CA7" w:rsidRPr="00C34CA7" w:rsidRDefault="00C34CA7" w:rsidP="00A661A5">
      <w:pPr>
        <w:spacing w:line="276" w:lineRule="auto"/>
      </w:pPr>
    </w:p>
    <w:p w14:paraId="40C0D66D" w14:textId="77777777" w:rsidR="00DB2D1E" w:rsidRDefault="00DB2D1E" w:rsidP="00A661A5">
      <w:pPr>
        <w:spacing w:line="276" w:lineRule="auto"/>
        <w:ind w:left="720" w:hanging="720"/>
        <w:rPr>
          <w:rFonts w:ascii="Times New Roman" w:hAnsi="Times New Roman"/>
        </w:rPr>
      </w:pPr>
      <w:r>
        <w:rPr>
          <w:rFonts w:ascii="Times New Roman" w:hAnsi="Times New Roman"/>
        </w:rPr>
        <w:t>(b)</w:t>
      </w:r>
      <w:r>
        <w:rPr>
          <w:rFonts w:ascii="Times New Roman" w:hAnsi="Times New Roman"/>
        </w:rPr>
        <w:tab/>
        <w:t>An order directing the Crown to remedy the interference by providing access to the requested information;</w:t>
      </w:r>
    </w:p>
    <w:p w14:paraId="19C89BD9" w14:textId="77777777" w:rsidR="00C34CA7" w:rsidRDefault="00C34CA7" w:rsidP="00A661A5">
      <w:pPr>
        <w:spacing w:line="276" w:lineRule="auto"/>
        <w:ind w:left="720" w:hanging="720"/>
        <w:rPr>
          <w:rFonts w:ascii="Times New Roman" w:hAnsi="Times New Roman"/>
        </w:rPr>
      </w:pPr>
    </w:p>
    <w:p w14:paraId="40EEE1F9" w14:textId="77777777" w:rsidR="00DB2D1E" w:rsidRDefault="00DB2D1E" w:rsidP="00A661A5">
      <w:pPr>
        <w:spacing w:line="276" w:lineRule="auto"/>
        <w:rPr>
          <w:rFonts w:ascii="Times New Roman" w:hAnsi="Times New Roman"/>
        </w:rPr>
      </w:pPr>
      <w:r>
        <w:rPr>
          <w:rFonts w:ascii="Times New Roman" w:hAnsi="Times New Roman"/>
        </w:rPr>
        <w:t>(c)</w:t>
      </w:r>
      <w:r>
        <w:rPr>
          <w:rFonts w:ascii="Times New Roman" w:hAnsi="Times New Roman"/>
        </w:rPr>
        <w:tab/>
        <w:t xml:space="preserve">Damages for loss of benefit, loss of dignity and injury to his feelings. </w:t>
      </w:r>
    </w:p>
    <w:p w14:paraId="5A47F011" w14:textId="77777777" w:rsidR="00C34CA7" w:rsidRDefault="00C34CA7" w:rsidP="00A661A5">
      <w:pPr>
        <w:spacing w:line="276" w:lineRule="auto"/>
        <w:rPr>
          <w:rFonts w:ascii="Times New Roman" w:hAnsi="Times New Roman"/>
        </w:rPr>
      </w:pPr>
    </w:p>
    <w:p w14:paraId="275FE726" w14:textId="77777777" w:rsidR="00DB2D1E" w:rsidRDefault="00DB2D1E" w:rsidP="00A661A5">
      <w:pPr>
        <w:spacing w:line="276" w:lineRule="auto"/>
        <w:rPr>
          <w:rFonts w:ascii="Times New Roman" w:hAnsi="Times New Roman"/>
        </w:rPr>
      </w:pPr>
      <w:r>
        <w:rPr>
          <w:rFonts w:ascii="Times New Roman" w:hAnsi="Times New Roman"/>
        </w:rPr>
        <w:t>The Tribunal granted him the remedies he sought. In respect of the declaration it found there had been no disentitling conduct on his part to deny Mr Dotcom a declaration and there was also no reason why the order seeking access should not be granted.</w:t>
      </w:r>
    </w:p>
    <w:p w14:paraId="2F05F087" w14:textId="77777777" w:rsidR="00C34CA7" w:rsidRDefault="00C34CA7" w:rsidP="00A661A5">
      <w:pPr>
        <w:spacing w:line="276" w:lineRule="auto"/>
        <w:rPr>
          <w:rFonts w:ascii="Times New Roman" w:hAnsi="Times New Roman"/>
        </w:rPr>
      </w:pPr>
    </w:p>
    <w:p w14:paraId="3F0B6FC4" w14:textId="77777777" w:rsidR="00DB2D1E" w:rsidRDefault="00DB2D1E" w:rsidP="00A661A5">
      <w:pPr>
        <w:spacing w:line="276" w:lineRule="auto"/>
        <w:rPr>
          <w:rFonts w:ascii="Times New Roman" w:hAnsi="Times New Roman"/>
        </w:rPr>
      </w:pPr>
      <w:r>
        <w:rPr>
          <w:rFonts w:ascii="Times New Roman" w:hAnsi="Times New Roman"/>
        </w:rPr>
        <w:t xml:space="preserve">In relation to damages there needed to be a causal connection between the interference with the privacy of the individual and the loss or damage sustained - the plaintiff must show that the defendant’s act or omission was a material cause. In terms of loss of benefit the loss must be based on an objective assessment of the nature of the benefit which the aggrieved individual might reasonably have been expected to have obtained but for the interference, the seriousness of the interference and the surrounding circumstances: at [238]. This was assessed as $30,000. In relation to loss of dignity or injury to feelings, the Tribunal found that the claim that his requests were vexatious, not genuine and intended to disrupt the extradition proceedings contained “a real sting”. A litigant’s desire to pursue the truth and to secure a fair hearing is not, without good reason, to be cynically dismissed. While conceding that there is inevitably a subjective element in determining the quantum of damages, the facts here were such that an award of $60,000 was made.   </w:t>
      </w:r>
    </w:p>
    <w:p w14:paraId="11688D86" w14:textId="77777777" w:rsidR="007700E3" w:rsidRDefault="00DB2D1E" w:rsidP="00A661A5">
      <w:pPr>
        <w:spacing w:line="276" w:lineRule="auto"/>
        <w:rPr>
          <w:rFonts w:ascii="Times New Roman" w:hAnsi="Times New Roman"/>
        </w:rPr>
      </w:pPr>
      <w:r>
        <w:rPr>
          <w:rFonts w:ascii="Times New Roman" w:hAnsi="Times New Roman"/>
        </w:rPr>
        <w:t xml:space="preserve">                </w:t>
      </w:r>
    </w:p>
    <w:p w14:paraId="6390198B" w14:textId="77777777" w:rsidR="007700E3" w:rsidRDefault="007700E3" w:rsidP="00A661A5">
      <w:pPr>
        <w:spacing w:line="276" w:lineRule="auto"/>
        <w:rPr>
          <w:rFonts w:ascii="Times New Roman" w:hAnsi="Times New Roman"/>
        </w:rPr>
      </w:pPr>
    </w:p>
    <w:p w14:paraId="2533608B" w14:textId="730A0C8B" w:rsidR="00DB2D1E" w:rsidRPr="00C52D2F" w:rsidRDefault="00DB2D1E" w:rsidP="00A661A5">
      <w:pPr>
        <w:spacing w:line="276" w:lineRule="auto"/>
        <w:rPr>
          <w:rFonts w:ascii="Times New Roman" w:hAnsi="Times New Roman"/>
        </w:rPr>
      </w:pPr>
      <w:r>
        <w:rPr>
          <w:rFonts w:ascii="Times New Roman" w:hAnsi="Times New Roman"/>
        </w:rPr>
        <w:t xml:space="preserve">                 </w:t>
      </w:r>
    </w:p>
    <w:p w14:paraId="1CF7712D" w14:textId="4F47D34E" w:rsidR="00C34CA7" w:rsidRPr="007700E3" w:rsidRDefault="00DB2D1E" w:rsidP="007700E3">
      <w:pPr>
        <w:pStyle w:val="Heading2"/>
        <w:spacing w:line="276" w:lineRule="auto"/>
        <w:rPr>
          <w:rFonts w:ascii="Book Antiqua" w:hAnsi="Book Antiqua"/>
          <w:sz w:val="24"/>
          <w:szCs w:val="24"/>
          <w:lang w:val="en-NZ"/>
        </w:rPr>
      </w:pPr>
      <w:bookmarkStart w:id="20" w:name="_Wall_v_Fairfax"/>
      <w:bookmarkEnd w:id="20"/>
      <w:r w:rsidRPr="00322881">
        <w:rPr>
          <w:rFonts w:ascii="Book Antiqua" w:hAnsi="Book Antiqua"/>
          <w:i/>
          <w:sz w:val="24"/>
          <w:szCs w:val="24"/>
          <w:lang w:val="en-NZ"/>
        </w:rPr>
        <w:t>Wall v Fairfax New Zealand Ltd</w:t>
      </w:r>
      <w:r w:rsidRPr="00322881">
        <w:rPr>
          <w:rFonts w:ascii="Book Antiqua" w:hAnsi="Book Antiqua"/>
          <w:sz w:val="24"/>
          <w:szCs w:val="24"/>
          <w:lang w:val="en-NZ"/>
        </w:rPr>
        <w:t xml:space="preserve"> [2018] NZHC 104 </w:t>
      </w:r>
    </w:p>
    <w:p w14:paraId="7B58FF61" w14:textId="7E8FB2E0" w:rsidR="00A1798C" w:rsidRPr="00C34CA7" w:rsidRDefault="00DB2D1E" w:rsidP="00A661A5">
      <w:pPr>
        <w:widowControl w:val="0"/>
        <w:autoSpaceDE w:val="0"/>
        <w:autoSpaceDN w:val="0"/>
        <w:adjustRightInd w:val="0"/>
        <w:spacing w:line="276" w:lineRule="auto"/>
        <w:jc w:val="both"/>
        <w:rPr>
          <w:rFonts w:ascii="Book Antiqua" w:hAnsi="Book Antiqua"/>
          <w:i/>
          <w:lang w:val="en-NZ"/>
        </w:rPr>
      </w:pPr>
      <w:r w:rsidRPr="00C34CA7">
        <w:rPr>
          <w:rFonts w:ascii="Book Antiqua" w:hAnsi="Book Antiqua"/>
          <w:i/>
          <w:lang w:val="en-NZ"/>
        </w:rPr>
        <w:t>The right to freedom of expression and when expression amounts to exciting racial disharmony</w:t>
      </w:r>
    </w:p>
    <w:p w14:paraId="5295FD15" w14:textId="77777777" w:rsidR="00C34CA7" w:rsidRDefault="00C34CA7" w:rsidP="00A661A5">
      <w:pPr>
        <w:widowControl w:val="0"/>
        <w:autoSpaceDE w:val="0"/>
        <w:autoSpaceDN w:val="0"/>
        <w:adjustRightInd w:val="0"/>
        <w:spacing w:line="276" w:lineRule="auto"/>
        <w:jc w:val="both"/>
        <w:rPr>
          <w:rFonts w:ascii="Times New Roman" w:hAnsi="Times New Roman"/>
          <w:i/>
          <w:lang w:val="en-NZ"/>
        </w:rPr>
      </w:pPr>
    </w:p>
    <w:p w14:paraId="364926F4" w14:textId="77777777" w:rsidR="00DB2D1E" w:rsidRDefault="00DB2D1E" w:rsidP="00A661A5">
      <w:pPr>
        <w:spacing w:line="276" w:lineRule="auto"/>
        <w:rPr>
          <w:rFonts w:ascii="Times New Roman" w:hAnsi="Times New Roman"/>
        </w:rPr>
      </w:pPr>
      <w:r w:rsidRPr="005C29FD">
        <w:rPr>
          <w:rFonts w:ascii="Times New Roman" w:hAnsi="Times New Roman"/>
        </w:rPr>
        <w:t xml:space="preserve">This is the first time the High Court has considered section 61 of the Human Rights Act 1993, which protects freedom of expression. The appeal concerned two cartoons by Al Nisbet relating to the food in schools programme in lower decile schools. One cartoon was published in the </w:t>
      </w:r>
      <w:r w:rsidRPr="005C29FD">
        <w:rPr>
          <w:rFonts w:ascii="Times New Roman" w:hAnsi="Times New Roman"/>
          <w:i/>
        </w:rPr>
        <w:t>Marlborough Express,</w:t>
      </w:r>
      <w:r w:rsidRPr="005C29FD">
        <w:rPr>
          <w:rFonts w:ascii="Times New Roman" w:hAnsi="Times New Roman"/>
        </w:rPr>
        <w:t xml:space="preserve"> the other in </w:t>
      </w:r>
      <w:r w:rsidRPr="005C29FD">
        <w:rPr>
          <w:rFonts w:ascii="Times New Roman" w:hAnsi="Times New Roman"/>
          <w:i/>
        </w:rPr>
        <w:t>The Press</w:t>
      </w:r>
      <w:r w:rsidRPr="005C29FD">
        <w:rPr>
          <w:rFonts w:ascii="Times New Roman" w:hAnsi="Times New Roman"/>
        </w:rPr>
        <w:t>. MP Louisa Wall brought the claim against Fairfax New Zealand Limited (Fairfax) for publishing cartoons that she claimed discriminated against Maori and Pasifika and breaches s 61 of the Human Rights Act. She alleged the cartoons depict Maori and Pasifika as likely to abuse the food for schools programme, spending their “money for cigarettes, alcohol and gambling rather than for food for their children and accordingly were despicable and worthless as well as negligent parents.”</w:t>
      </w:r>
      <w:r w:rsidRPr="005C29FD">
        <w:rPr>
          <w:rStyle w:val="FootnoteReference"/>
          <w:rFonts w:ascii="Times New Roman" w:hAnsi="Times New Roman"/>
        </w:rPr>
        <w:footnoteReference w:id="1"/>
      </w:r>
      <w:r w:rsidRPr="005C29FD">
        <w:rPr>
          <w:rFonts w:ascii="Times New Roman" w:hAnsi="Times New Roman"/>
        </w:rPr>
        <w:t xml:space="preserve"> </w:t>
      </w:r>
    </w:p>
    <w:p w14:paraId="11E93680" w14:textId="77777777" w:rsidR="00C34CA7" w:rsidRPr="005C29FD" w:rsidRDefault="00C34CA7" w:rsidP="00A661A5">
      <w:pPr>
        <w:spacing w:line="276" w:lineRule="auto"/>
        <w:rPr>
          <w:rFonts w:ascii="Times New Roman" w:hAnsi="Times New Roman"/>
        </w:rPr>
      </w:pPr>
    </w:p>
    <w:p w14:paraId="2F6833D6" w14:textId="77777777" w:rsidR="00DB2D1E" w:rsidRDefault="00DB2D1E" w:rsidP="00A661A5">
      <w:pPr>
        <w:spacing w:line="276" w:lineRule="auto"/>
        <w:rPr>
          <w:rFonts w:ascii="Times New Roman" w:hAnsi="Times New Roman"/>
        </w:rPr>
      </w:pPr>
      <w:r w:rsidRPr="005C29FD">
        <w:rPr>
          <w:rFonts w:ascii="Times New Roman" w:hAnsi="Times New Roman"/>
        </w:rPr>
        <w:t>The Human Rights Review Tribunal considered that three issues needed to be satisfied. The first was whether the cartoons depicted Maori or Pasifika persons, the second whether they were insulting for the purposes of s 61 and the third was whether they were “likely to excite hostility against or bring into contempt any group of persons”. The first two issues were satisfied but on the third, the Tribunal found that the cartoons were not likely to excite hostility against Maori or Pasifika, or bring them into contempt. This was the issue against which Ms. Wall appealed, arguing that the Tribunal had not interpreted and applied the s 61 test correctly. Given that the cartoons were insulting, that in itself meant they were likely to - and did - bring Maori and Pasifika into contempt.</w:t>
      </w:r>
    </w:p>
    <w:p w14:paraId="3ADC7C9B" w14:textId="77777777" w:rsidR="00C34CA7" w:rsidRPr="005C29FD" w:rsidRDefault="00C34CA7" w:rsidP="00A661A5">
      <w:pPr>
        <w:spacing w:line="276" w:lineRule="auto"/>
        <w:rPr>
          <w:rFonts w:ascii="Times New Roman" w:hAnsi="Times New Roman"/>
        </w:rPr>
      </w:pPr>
    </w:p>
    <w:p w14:paraId="4B996060" w14:textId="77777777" w:rsidR="00DB2D1E" w:rsidRPr="005C29FD" w:rsidRDefault="00DB2D1E" w:rsidP="00A661A5">
      <w:pPr>
        <w:spacing w:line="276" w:lineRule="auto"/>
        <w:rPr>
          <w:rFonts w:ascii="Times New Roman" w:hAnsi="Times New Roman"/>
        </w:rPr>
      </w:pPr>
      <w:r w:rsidRPr="005C29FD">
        <w:rPr>
          <w:rFonts w:ascii="Times New Roman" w:hAnsi="Times New Roman"/>
        </w:rPr>
        <w:t>The High Court discussed the interpretation of s 61 agreeing with the Tribunal that s 61 was intended to capture civil and criminal behaviour that was “at the serious end of the continuum of meaning”.</w:t>
      </w:r>
      <w:r w:rsidRPr="005C29FD">
        <w:rPr>
          <w:rStyle w:val="FootnoteReference"/>
          <w:rFonts w:ascii="Times New Roman" w:hAnsi="Times New Roman"/>
        </w:rPr>
        <w:footnoteReference w:id="2"/>
      </w:r>
      <w:r w:rsidRPr="005C29FD">
        <w:rPr>
          <w:rFonts w:ascii="Times New Roman" w:hAnsi="Times New Roman"/>
        </w:rPr>
        <w:t xml:space="preserve"> The word “contempt” was to be read as ‘despicable’ rather than ‘being of little value’. In doing so the Court looked at </w:t>
      </w:r>
      <w:r w:rsidRPr="005C29FD">
        <w:rPr>
          <w:rFonts w:ascii="Times New Roman" w:hAnsi="Times New Roman"/>
          <w:i/>
        </w:rPr>
        <w:t>who</w:t>
      </w:r>
      <w:r w:rsidRPr="005C29FD">
        <w:rPr>
          <w:rFonts w:ascii="Times New Roman" w:hAnsi="Times New Roman"/>
        </w:rPr>
        <w:t xml:space="preserve"> was likely to be incited to act in a hostile way against Maori and Pasifika, or was likely to hold them in contempt. The effect on Maori and Pasifika is not relevant to this part of the test. It is an objective test on the effect on </w:t>
      </w:r>
      <w:r w:rsidRPr="005C29FD">
        <w:rPr>
          <w:rFonts w:ascii="Times New Roman" w:hAnsi="Times New Roman"/>
          <w:i/>
        </w:rPr>
        <w:t>others</w:t>
      </w:r>
      <w:r w:rsidRPr="005C29FD">
        <w:rPr>
          <w:rFonts w:ascii="Times New Roman" w:hAnsi="Times New Roman"/>
        </w:rPr>
        <w:t xml:space="preserve"> and how their attitudes toward Maori and Pasifika may have been changed. “Self-contempt” of Maori and Pasifika is not sufficient to meet this test. The audience with which to whether they have been brought into contempt is not all potential readers, nor is it the reasonable person or even the apprehension of what the reasonable person’s reaction would be. </w:t>
      </w:r>
    </w:p>
    <w:p w14:paraId="56130F3A" w14:textId="77777777" w:rsidR="00DB2D1E" w:rsidRDefault="00DB2D1E" w:rsidP="00A661A5">
      <w:pPr>
        <w:spacing w:line="276" w:lineRule="auto"/>
        <w:rPr>
          <w:rFonts w:ascii="Times New Roman" w:hAnsi="Times New Roman"/>
        </w:rPr>
      </w:pPr>
      <w:r w:rsidRPr="005C29FD">
        <w:rPr>
          <w:rFonts w:ascii="Times New Roman" w:hAnsi="Times New Roman"/>
        </w:rPr>
        <w:t xml:space="preserve">The Human Rights Commission had submitted a test that focused on the “susceptible” or “persuadable” portion of the potential audience. While the Court did not adopt the test verbatim, it did accept the “susceptible” or “persuadable” aspect, acknowledging that whilst not a complete test, it was nonetheless a useful one. The Court commented on the value of editorial cartoons in providing unpopular views that may cause offence and reflect intolerant attitudes held by some within society, in order that they may be challenged. With this in mind, the Court did not find that even those who might be persuaded would be excited to hostility or feelings of contempt toward Maori or Pasifika. The Court affirmed the Tribunal’s approach that the language of s 61 was elastic and open to a continuum of meaning. While it was appropriate for the Tribunal to adopt a </w:t>
      </w:r>
      <w:r w:rsidRPr="005C29FD">
        <w:rPr>
          <w:rFonts w:ascii="Times New Roman" w:hAnsi="Times New Roman"/>
          <w:i/>
        </w:rPr>
        <w:t>Moonen</w:t>
      </w:r>
      <w:r w:rsidRPr="005C29FD">
        <w:rPr>
          <w:rFonts w:ascii="Times New Roman" w:hAnsi="Times New Roman"/>
        </w:rPr>
        <w:t xml:space="preserve"> approach in deciding the scope of the right to freedom of expression (one that is not absolute), a </w:t>
      </w:r>
      <w:r w:rsidRPr="005C29FD">
        <w:rPr>
          <w:rFonts w:ascii="Times New Roman" w:hAnsi="Times New Roman"/>
          <w:i/>
        </w:rPr>
        <w:t>Hansen</w:t>
      </w:r>
      <w:r w:rsidRPr="005C29FD">
        <w:rPr>
          <w:rFonts w:ascii="Times New Roman" w:hAnsi="Times New Roman"/>
        </w:rPr>
        <w:t xml:space="preserve"> approach was unlikely to have produced a different result.</w:t>
      </w:r>
      <w:r w:rsidRPr="005C29FD">
        <w:rPr>
          <w:rStyle w:val="FootnoteReference"/>
          <w:rFonts w:ascii="Times New Roman" w:hAnsi="Times New Roman"/>
        </w:rPr>
        <w:footnoteReference w:id="3"/>
      </w:r>
      <w:r w:rsidRPr="005C29FD">
        <w:rPr>
          <w:rFonts w:ascii="Times New Roman" w:hAnsi="Times New Roman"/>
        </w:rPr>
        <w:t xml:space="preserve"> The Court took no issue with the conclusion that the s 61 language establishes a high threshold, at the serious end of the spectrum.</w:t>
      </w:r>
    </w:p>
    <w:p w14:paraId="37A51150" w14:textId="77777777" w:rsidR="00C34CA7" w:rsidRPr="005C29FD" w:rsidRDefault="00C34CA7" w:rsidP="00A661A5">
      <w:pPr>
        <w:spacing w:line="276" w:lineRule="auto"/>
        <w:rPr>
          <w:rFonts w:ascii="Times New Roman" w:hAnsi="Times New Roman"/>
        </w:rPr>
      </w:pPr>
    </w:p>
    <w:p w14:paraId="343C016F" w14:textId="77777777" w:rsidR="00DB2D1E" w:rsidRPr="005C29FD" w:rsidRDefault="00DB2D1E" w:rsidP="00A661A5">
      <w:pPr>
        <w:spacing w:line="276" w:lineRule="auto"/>
        <w:rPr>
          <w:rFonts w:ascii="Times New Roman" w:hAnsi="Times New Roman"/>
          <w:color w:val="008000"/>
        </w:rPr>
      </w:pPr>
      <w:r w:rsidRPr="005C29FD">
        <w:rPr>
          <w:rFonts w:ascii="Times New Roman" w:hAnsi="Times New Roman"/>
        </w:rPr>
        <w:t>Ms. Wall had also argued that the case involved  a conflict between freedom of expression and freedom from discrimination and s 19 of the New Zealand Bill of Rights Act 1990 (NZBORA).</w:t>
      </w:r>
      <w:r w:rsidRPr="005C29FD">
        <w:rPr>
          <w:rStyle w:val="FootnoteReference"/>
          <w:rFonts w:ascii="Times New Roman" w:hAnsi="Times New Roman"/>
        </w:rPr>
        <w:footnoteReference w:id="4"/>
      </w:r>
      <w:r w:rsidRPr="005C29FD">
        <w:rPr>
          <w:rFonts w:ascii="Times New Roman" w:hAnsi="Times New Roman"/>
        </w:rPr>
        <w:t xml:space="preserve"> This was because s 61 refers to “other forms of discrimination”. The Court agreed with the Tribunal that the right to freedom of expression was the issue and the situation was better described “in terms of a conflict between Fairfax’s </w:t>
      </w:r>
      <w:r w:rsidRPr="005C29FD">
        <w:rPr>
          <w:rFonts w:ascii="Times New Roman" w:hAnsi="Times New Roman"/>
          <w:i/>
        </w:rPr>
        <w:t>right</w:t>
      </w:r>
      <w:r w:rsidRPr="005C29FD">
        <w:rPr>
          <w:rFonts w:ascii="Times New Roman" w:hAnsi="Times New Roman"/>
        </w:rPr>
        <w:t xml:space="preserve"> to freedom of speech and the government’s </w:t>
      </w:r>
      <w:r w:rsidRPr="005C29FD">
        <w:rPr>
          <w:rFonts w:ascii="Times New Roman" w:hAnsi="Times New Roman"/>
          <w:i/>
        </w:rPr>
        <w:t>interest</w:t>
      </w:r>
      <w:r w:rsidRPr="005C29FD">
        <w:rPr>
          <w:rFonts w:ascii="Times New Roman" w:hAnsi="Times New Roman"/>
        </w:rPr>
        <w:t xml:space="preserve"> in protecting its citizens from harmful speech and discrimination.”</w:t>
      </w:r>
      <w:r w:rsidRPr="005C29FD">
        <w:rPr>
          <w:rStyle w:val="FootnoteReference"/>
          <w:rFonts w:ascii="Times New Roman" w:hAnsi="Times New Roman"/>
        </w:rPr>
        <w:footnoteReference w:id="5"/>
      </w:r>
      <w:r w:rsidRPr="005C29FD">
        <w:rPr>
          <w:rFonts w:ascii="Times New Roman" w:hAnsi="Times New Roman"/>
        </w:rPr>
        <w:t xml:space="preserve"> The s 19 NZBORA right to freedom from discrimination was not engaged because the plaintiff did not allege that she was discriminated against personally. The High Court confirmed there were two-limbs to s.61. Namely, material must be both insulting “likely to excite hostility against or bring into contempt any group of persons”. As the second limb of the s 61 test was not met, the Court concluded that s 61 was not breached and dismissed the appeal.</w:t>
      </w:r>
    </w:p>
    <w:p w14:paraId="1E0ECE2E" w14:textId="7D81A1A7" w:rsidR="007B552F" w:rsidRPr="00960ED5" w:rsidRDefault="007700E3" w:rsidP="00A661A5">
      <w:pPr>
        <w:spacing w:line="276" w:lineRule="auto"/>
        <w:rPr>
          <w:rFonts w:ascii="Book Antiqua" w:eastAsia="Times New Roman" w:hAnsi="Book Antiqua" w:cstheme="majorHAnsi"/>
          <w:sz w:val="22"/>
          <w:szCs w:val="22"/>
          <w:lang w:eastAsia="en-NZ"/>
        </w:rPr>
      </w:pPr>
      <w:r>
        <w:rPr>
          <w:rFonts w:ascii="Book Antiqua" w:eastAsia="Times New Roman" w:hAnsi="Book Antiqua" w:cstheme="majorHAnsi"/>
          <w:sz w:val="22"/>
          <w:szCs w:val="22"/>
          <w:lang w:eastAsia="en-NZ"/>
        </w:rPr>
        <w:br/>
      </w:r>
    </w:p>
    <w:p w14:paraId="3F51C6FE" w14:textId="4D1520F5" w:rsidR="00461473" w:rsidRPr="00C34CA7" w:rsidRDefault="00DB2D1E" w:rsidP="007700E3">
      <w:pPr>
        <w:spacing w:line="276" w:lineRule="auto"/>
        <w:jc w:val="both"/>
        <w:rPr>
          <w:rFonts w:ascii="Book Antiqua" w:hAnsi="Book Antiqua"/>
          <w:i/>
          <w:szCs w:val="22"/>
        </w:rPr>
      </w:pPr>
      <w:bookmarkStart w:id="21" w:name="_Janet_Elsie_Lowe"/>
      <w:bookmarkEnd w:id="21"/>
      <w:r w:rsidRPr="00DB2D1E">
        <w:rPr>
          <w:rFonts w:ascii="Book Antiqua" w:eastAsiaTheme="majorEastAsia" w:hAnsi="Book Antiqua" w:cstheme="majorBidi"/>
          <w:b/>
          <w:i/>
          <w:color w:val="365F91" w:themeColor="accent1" w:themeShade="BF"/>
          <w:lang w:val="en-NZ"/>
        </w:rPr>
        <w:t xml:space="preserve">Chamberlain v Minister of Health </w:t>
      </w:r>
      <w:r w:rsidRPr="00C34CA7">
        <w:rPr>
          <w:rFonts w:ascii="Book Antiqua" w:eastAsiaTheme="majorEastAsia" w:hAnsi="Book Antiqua" w:cstheme="majorBidi"/>
          <w:b/>
          <w:color w:val="365F91" w:themeColor="accent1" w:themeShade="BF"/>
          <w:lang w:val="en-NZ"/>
        </w:rPr>
        <w:t>[2017] NZHC 1821, [2017] NZAR 1271 [HC judgement];</w:t>
      </w:r>
      <w:r w:rsidRPr="00DB2D1E">
        <w:rPr>
          <w:rFonts w:ascii="Book Antiqua" w:eastAsiaTheme="majorEastAsia" w:hAnsi="Book Antiqua" w:cstheme="majorBidi"/>
          <w:b/>
          <w:i/>
          <w:color w:val="365F91" w:themeColor="accent1" w:themeShade="BF"/>
          <w:lang w:val="en-NZ"/>
        </w:rPr>
        <w:t xml:space="preserve"> Chamberlain v Minister of Health </w:t>
      </w:r>
      <w:r w:rsidRPr="00C34CA7">
        <w:rPr>
          <w:rFonts w:ascii="Book Antiqua" w:eastAsiaTheme="majorEastAsia" w:hAnsi="Book Antiqua" w:cstheme="majorBidi"/>
          <w:b/>
          <w:color w:val="365F91" w:themeColor="accent1" w:themeShade="BF"/>
          <w:lang w:val="en-NZ"/>
        </w:rPr>
        <w:t>[2018] NZCA 8</w:t>
      </w:r>
      <w:r w:rsidR="007700E3">
        <w:rPr>
          <w:rFonts w:ascii="Book Antiqua" w:eastAsiaTheme="majorEastAsia" w:hAnsi="Book Antiqua" w:cstheme="majorBidi"/>
          <w:b/>
          <w:color w:val="365F91" w:themeColor="accent1" w:themeShade="BF"/>
          <w:lang w:val="en-NZ"/>
        </w:rPr>
        <w:br/>
      </w:r>
      <w:r w:rsidR="00461473" w:rsidRPr="00C34CA7">
        <w:rPr>
          <w:rFonts w:ascii="Book Antiqua" w:hAnsi="Book Antiqua"/>
          <w:i/>
          <w:szCs w:val="22"/>
        </w:rPr>
        <w:t xml:space="preserve">The right of families to equal treatment when caring for their disabled relatives </w:t>
      </w:r>
    </w:p>
    <w:p w14:paraId="2042EC07" w14:textId="77777777" w:rsidR="00461473" w:rsidRPr="00461473" w:rsidRDefault="00461473" w:rsidP="00A661A5">
      <w:pPr>
        <w:pStyle w:val="NormalWeb"/>
        <w:spacing w:after="0" w:line="276" w:lineRule="auto"/>
        <w:rPr>
          <w:rFonts w:ascii="Book Antiqua" w:hAnsi="Book Antiqua"/>
          <w:sz w:val="22"/>
          <w:szCs w:val="22"/>
        </w:rPr>
      </w:pPr>
      <w:r w:rsidRPr="00461473">
        <w:rPr>
          <w:rFonts w:ascii="Book Antiqua" w:hAnsi="Book Antiqua"/>
          <w:sz w:val="22"/>
          <w:szCs w:val="22"/>
        </w:rPr>
        <w:t>The Chamberlain case is yet another step in the ongoing saga of the Ministry of Health’s resistance to pay family members to support their disabled relatives. Beginning with a complaint of discrimination to the Human Rights Commission, the Ministry of Health has vigorously defended its policy in a succession of cases culminating in 2012 when the Court of Appeal found that it was discriminatory on the grounds of family status and contrary to s.19 of the New Zealand Bill of Rights Act 1990</w:t>
      </w:r>
      <w:r w:rsidRPr="00461473">
        <w:rPr>
          <w:rFonts w:ascii="Book Antiqua" w:hAnsi="Book Antiqua"/>
          <w:sz w:val="22"/>
          <w:szCs w:val="22"/>
          <w:vertAlign w:val="superscript"/>
        </w:rPr>
        <w:footnoteReference w:id="6"/>
      </w:r>
      <w:r w:rsidRPr="00461473">
        <w:rPr>
          <w:rFonts w:ascii="Book Antiqua" w:hAnsi="Book Antiqua"/>
          <w:sz w:val="22"/>
          <w:szCs w:val="22"/>
        </w:rPr>
        <w:t xml:space="preserve">. In response, while technically allowing funding for relatives to care for resident family members, Parliament amended the New Zealand Public Health and Disability Act 2000 by adding Part 4A to keep funding of such services “within sustainable limits”. At the time the amendment attracted considerable criticism as it was introduced under urgency and without public consultation or scrutiny by a Select Committee. The fact that it prevents further complaints to the Human Rights Commission or the courts that a policy is discriminatory was also contentious. </w:t>
      </w:r>
    </w:p>
    <w:p w14:paraId="42659592" w14:textId="77777777" w:rsidR="00461473" w:rsidRPr="00461473" w:rsidRDefault="00461473" w:rsidP="00A661A5">
      <w:pPr>
        <w:pStyle w:val="NormalWeb"/>
        <w:spacing w:after="0" w:line="276" w:lineRule="auto"/>
        <w:rPr>
          <w:rFonts w:ascii="Book Antiqua" w:hAnsi="Book Antiqua"/>
          <w:sz w:val="22"/>
          <w:szCs w:val="22"/>
        </w:rPr>
      </w:pPr>
      <w:r w:rsidRPr="00461473">
        <w:rPr>
          <w:rFonts w:ascii="Book Antiqua" w:hAnsi="Book Antiqua"/>
          <w:sz w:val="22"/>
          <w:szCs w:val="22"/>
        </w:rPr>
        <w:t>The wording in Part 4A is so tortuous that it is unclear who is eligible for payment and for what. Chamberlain is a good illustration of this. It allows for up to 40 hours funding per week for “personal care” and “household management” services as part of a Funded Family Care (FFC) policy. The level of funding is assessed by providers of needs assessment and coordination services (NASC) under contract to the Ministry.</w:t>
      </w:r>
    </w:p>
    <w:p w14:paraId="4E27D163" w14:textId="77777777" w:rsidR="00461473" w:rsidRPr="00461473" w:rsidRDefault="00461473" w:rsidP="00A661A5">
      <w:pPr>
        <w:pStyle w:val="NormalWeb"/>
        <w:spacing w:after="0" w:line="276" w:lineRule="auto"/>
        <w:rPr>
          <w:rFonts w:ascii="Book Antiqua" w:hAnsi="Book Antiqua"/>
          <w:sz w:val="22"/>
          <w:szCs w:val="22"/>
        </w:rPr>
      </w:pPr>
      <w:r w:rsidRPr="00461473">
        <w:rPr>
          <w:rFonts w:ascii="Book Antiqua" w:hAnsi="Book Antiqua"/>
          <w:sz w:val="22"/>
          <w:szCs w:val="22"/>
        </w:rPr>
        <w:t>Dianne Moody has cared for her middle aged son, Shane, all of his life. On the advice of the NASC, the Ministry paid Dianne for 17 hours a week under the FFC policy. Shane and his mother argued he was entitled to funding for the maximum 40 hours. As Palmer J observed at the High Court, the argument was essentially about whether the funding decisions were based on an accurate assessment of Shane’s needs in terms of the policy, interpreted lawfully.</w:t>
      </w:r>
      <w:r w:rsidRPr="00461473">
        <w:rPr>
          <w:rFonts w:ascii="Book Antiqua" w:hAnsi="Book Antiqua"/>
          <w:sz w:val="22"/>
          <w:szCs w:val="22"/>
          <w:vertAlign w:val="superscript"/>
        </w:rPr>
        <w:footnoteReference w:id="7"/>
      </w:r>
      <w:r w:rsidRPr="00461473">
        <w:rPr>
          <w:rFonts w:ascii="Book Antiqua" w:hAnsi="Book Antiqua"/>
          <w:sz w:val="22"/>
          <w:szCs w:val="22"/>
        </w:rPr>
        <w:t xml:space="preserve"> Paul Dale, acting for Dianne Moody and Shane, claimed that the funding decisions amounted to an error of law in interpreting and applying the policies consistently with the aim of the Act. The Crown, on the other hand, claimed that the proceedings attacked “the philosophy and mechanics of the entire disability support system in a way which is perverse and the antithesis of the principles promoted by the (Disability) Convention and the government’s strategic goals”.</w:t>
      </w:r>
      <w:r w:rsidRPr="00461473">
        <w:rPr>
          <w:rFonts w:ascii="Book Antiqua" w:hAnsi="Book Antiqua"/>
          <w:sz w:val="22"/>
          <w:szCs w:val="22"/>
          <w:vertAlign w:val="superscript"/>
        </w:rPr>
        <w:footnoteReference w:id="8"/>
      </w:r>
      <w:r w:rsidRPr="00461473">
        <w:rPr>
          <w:rFonts w:ascii="Book Antiqua" w:hAnsi="Book Antiqua"/>
          <w:sz w:val="22"/>
          <w:szCs w:val="22"/>
        </w:rPr>
        <w:t>In order to decide whether Dianne Moody was entitled to the number of hours she claimed Palmer J had to decide what was meant by “personal care” and “household management”. He found that they were discrete specific services which did not include general supervision or oversight of a person with a disability. Part 4A was of little assistance in interpreting the terms – the definition of support services for example did not throw any light on the scope of the services intended to be funded, although it was conceded it might have been different if there was evidence that a contract service provider received materially more funding. It followed that the funding decisions in relation to Shane were consistent with the meaning of “personal care” and “household management” as used in the policies. As a result he declined to make a declaration that the Minister’s funding decision was unlawful for want of consistency with the relevant FCC under the Public Health and Disability Amendment Act. Dianne Moody challenged the decision.</w:t>
      </w:r>
    </w:p>
    <w:p w14:paraId="6898AA83" w14:textId="77777777" w:rsidR="00461473" w:rsidRPr="00461473" w:rsidRDefault="00461473" w:rsidP="00A661A5">
      <w:pPr>
        <w:pStyle w:val="NormalWeb"/>
        <w:spacing w:after="0" w:line="276" w:lineRule="auto"/>
        <w:rPr>
          <w:rFonts w:ascii="Book Antiqua" w:hAnsi="Book Antiqua"/>
          <w:sz w:val="22"/>
          <w:szCs w:val="22"/>
        </w:rPr>
      </w:pPr>
      <w:r w:rsidRPr="00461473">
        <w:rPr>
          <w:rFonts w:ascii="Book Antiqua" w:hAnsi="Book Antiqua"/>
          <w:sz w:val="22"/>
          <w:szCs w:val="22"/>
        </w:rPr>
        <w:t>The Court of Appeal allowed the appeal, setting aside the allocation of funding for 17 hours, directing the Ministry to reassess Shane’s application consistently with the Disability Convention and the Public Health and Disability Act 2000. Describing the policy as legal instrument that determines entitlement to services, the Court saw the issue as whether “personal care” and “household management” were broad enough to cover services such as safety supervision and intermittent care, given the reasons for funding family care. It followed that the phrases should not be construed narrowly and limited to specific examples of discrete tasks or tied to earlier specifications which predated Part 4A. They must be interpreted in a way which advanced the purposes of home and community funding within the Act generally.</w:t>
      </w:r>
      <w:r w:rsidRPr="00461473">
        <w:rPr>
          <w:rFonts w:ascii="Book Antiqua" w:hAnsi="Book Antiqua"/>
          <w:sz w:val="22"/>
          <w:szCs w:val="22"/>
          <w:vertAlign w:val="superscript"/>
        </w:rPr>
        <w:footnoteReference w:id="9"/>
      </w:r>
      <w:r w:rsidRPr="00461473">
        <w:rPr>
          <w:rFonts w:ascii="Book Antiqua" w:hAnsi="Book Antiqua"/>
          <w:sz w:val="22"/>
          <w:szCs w:val="22"/>
        </w:rPr>
        <w:t xml:space="preserve"> Family relationships cannot justify excluding carers acting as support workers when the law now recognises that they are equally eligible for funding in performing the same disability support services as contracted third party carers. Turning to New Zealand’s obligations under the Disability Convention, the Judges found that Dianne’s caring of Shane at home reflected the Convention requirement that disabled persons should be able to belong to and participate in the community to reduce social isolation. This goal should not be overridden by fiscal expediency. The Court concluded that “a formulaic approach to assessment [was] inconsistent with the spirit and purpose of the Act”</w:t>
      </w:r>
      <w:r w:rsidRPr="00461473">
        <w:rPr>
          <w:rFonts w:ascii="Book Antiqua" w:hAnsi="Book Antiqua"/>
          <w:sz w:val="22"/>
          <w:szCs w:val="22"/>
          <w:vertAlign w:val="superscript"/>
        </w:rPr>
        <w:footnoteReference w:id="10"/>
      </w:r>
      <w:r w:rsidRPr="00461473">
        <w:rPr>
          <w:rFonts w:ascii="Book Antiqua" w:hAnsi="Book Antiqua"/>
          <w:sz w:val="22"/>
          <w:szCs w:val="22"/>
        </w:rPr>
        <w:t>. By failing to recognise the full range of services that Shane was eligible for the NASC assessment misinterpreted the Policy and, as a result, the Minister had erred in law. The error was serious and warranted judicial review. Accordingly, the Minister was directed to reassess Shane’s application for funding in a manner consistent with the purposes of the Act and the content of the policy as set out in the judgment.</w:t>
      </w:r>
      <w:r w:rsidRPr="00461473">
        <w:rPr>
          <w:rFonts w:ascii="Book Antiqua" w:hAnsi="Book Antiqua"/>
          <w:sz w:val="22"/>
          <w:szCs w:val="22"/>
          <w:vertAlign w:val="superscript"/>
        </w:rPr>
        <w:footnoteReference w:id="11"/>
      </w:r>
      <w:r w:rsidRPr="00461473">
        <w:rPr>
          <w:rFonts w:ascii="Book Antiqua" w:hAnsi="Book Antiqua"/>
          <w:sz w:val="22"/>
          <w:szCs w:val="22"/>
        </w:rPr>
        <w:t xml:space="preserve">    </w:t>
      </w:r>
    </w:p>
    <w:p w14:paraId="43D264D7" w14:textId="77777777" w:rsidR="00461473" w:rsidRPr="00461473" w:rsidRDefault="00461473" w:rsidP="00A661A5">
      <w:pPr>
        <w:pStyle w:val="NormalWeb"/>
        <w:spacing w:after="0" w:line="276" w:lineRule="auto"/>
        <w:rPr>
          <w:rFonts w:ascii="Book Antiqua" w:hAnsi="Book Antiqua"/>
          <w:sz w:val="22"/>
          <w:szCs w:val="22"/>
        </w:rPr>
      </w:pPr>
      <w:r w:rsidRPr="00461473">
        <w:rPr>
          <w:rFonts w:ascii="Book Antiqua" w:hAnsi="Book Antiqua"/>
          <w:sz w:val="22"/>
          <w:szCs w:val="22"/>
        </w:rPr>
        <w:t>The Court added a postscript with which we can only agree. Noting that it was the third time that a dispute about this subject had reached the Court of Appeal, the Judges expressed the hope that in future parties to such disputes would be able to settle their differences without resorting to litigation. They also criticised the complexity of the statutory instruments governing eligibility for disability support services as “verging on the impenetrable” and hoped that the Ministry was able to find an effective way of streamlining the regime so it was accessible for the people who needed it most. In fact we would go further and encourage the repeal of Part 4A entirely and a more rights consistent approach to the payment of carers. We note that in its pre-election manifesto, Labour said it would repeal the legislation and would ensure all family caregivers could "provide and be paid for assessed care for their disabled adult family member".</w:t>
      </w:r>
    </w:p>
    <w:p w14:paraId="67BE31B4" w14:textId="77777777" w:rsidR="00CC4300" w:rsidRPr="00722048" w:rsidRDefault="00CC4300" w:rsidP="00A661A5">
      <w:pPr>
        <w:pStyle w:val="NormalWeb"/>
        <w:spacing w:before="0" w:beforeAutospacing="0" w:after="0" w:afterAutospacing="0" w:line="276" w:lineRule="auto"/>
        <w:rPr>
          <w:rFonts w:ascii="Book Antiqua" w:hAnsi="Book Antiqua" w:cstheme="majorHAnsi"/>
          <w:sz w:val="22"/>
          <w:szCs w:val="22"/>
          <w:lang w:val="en-GB"/>
        </w:rPr>
      </w:pPr>
    </w:p>
    <w:p w14:paraId="127A6DD6" w14:textId="2592E0B6" w:rsidR="00D446A6" w:rsidRDefault="00461473" w:rsidP="00A661A5">
      <w:pPr>
        <w:spacing w:line="276" w:lineRule="auto"/>
        <w:rPr>
          <w:rFonts w:ascii="Book Antiqua" w:eastAsiaTheme="majorEastAsia" w:hAnsi="Book Antiqua" w:cstheme="majorBidi"/>
          <w:b/>
          <w:color w:val="365F91" w:themeColor="accent1" w:themeShade="BF"/>
          <w:lang w:val="en-NZ"/>
        </w:rPr>
      </w:pPr>
      <w:bookmarkStart w:id="22" w:name="_Brown_v_New"/>
      <w:bookmarkEnd w:id="22"/>
      <w:r w:rsidRPr="00461473">
        <w:rPr>
          <w:rFonts w:ascii="Book Antiqua" w:eastAsiaTheme="majorEastAsia" w:hAnsi="Book Antiqua" w:cstheme="majorBidi"/>
          <w:b/>
          <w:i/>
          <w:color w:val="365F91" w:themeColor="accent1" w:themeShade="BF"/>
          <w:lang w:val="en-NZ"/>
        </w:rPr>
        <w:t xml:space="preserve">Chief Executive of the Department of Corrections v Shane Aaron Gardiner </w:t>
      </w:r>
      <w:r w:rsidRPr="00C34CA7">
        <w:rPr>
          <w:rFonts w:ascii="Book Antiqua" w:eastAsiaTheme="majorEastAsia" w:hAnsi="Book Antiqua" w:cstheme="majorBidi"/>
          <w:b/>
          <w:color w:val="365F91" w:themeColor="accent1" w:themeShade="BF"/>
          <w:lang w:val="en-NZ"/>
        </w:rPr>
        <w:t xml:space="preserve">[2017] NZCA 608 </w:t>
      </w:r>
    </w:p>
    <w:p w14:paraId="6D9D4853" w14:textId="07764799" w:rsidR="00513120" w:rsidRPr="00C34CA7" w:rsidRDefault="00461473" w:rsidP="00A661A5">
      <w:pPr>
        <w:spacing w:line="276" w:lineRule="auto"/>
        <w:rPr>
          <w:rFonts w:ascii="Book Antiqua" w:hAnsi="Book Antiqua"/>
          <w:i/>
          <w:szCs w:val="24"/>
          <w:lang w:val="en-NZ"/>
        </w:rPr>
      </w:pPr>
      <w:r w:rsidRPr="00C34CA7">
        <w:rPr>
          <w:rFonts w:ascii="Book Antiqua" w:hAnsi="Book Antiqua"/>
          <w:i/>
          <w:szCs w:val="24"/>
          <w:lang w:val="en-NZ"/>
        </w:rPr>
        <w:t>The right to liberty &amp; freedom from unlawful detention</w:t>
      </w:r>
    </w:p>
    <w:p w14:paraId="056C44AA" w14:textId="77777777" w:rsidR="00C34CA7" w:rsidRDefault="00C34CA7" w:rsidP="00A661A5">
      <w:pPr>
        <w:spacing w:line="276" w:lineRule="auto"/>
        <w:rPr>
          <w:rFonts w:ascii="Book Antiqua" w:hAnsi="Book Antiqua"/>
          <w:b/>
          <w:i/>
          <w:szCs w:val="24"/>
          <w:lang w:val="en-NZ"/>
        </w:rPr>
      </w:pPr>
    </w:p>
    <w:p w14:paraId="09D0365B" w14:textId="77777777" w:rsidR="003D2840" w:rsidRDefault="003D2840" w:rsidP="00A661A5">
      <w:pPr>
        <w:spacing w:line="276" w:lineRule="auto"/>
        <w:rPr>
          <w:rFonts w:ascii="Book Antiqua" w:hAnsi="Book Antiqua"/>
          <w:sz w:val="22"/>
          <w:szCs w:val="22"/>
          <w:lang w:val="en-NZ"/>
        </w:rPr>
      </w:pPr>
      <w:r w:rsidRPr="003D2840">
        <w:rPr>
          <w:rFonts w:ascii="Book Antiqua" w:hAnsi="Book Antiqua"/>
          <w:sz w:val="22"/>
          <w:szCs w:val="22"/>
          <w:lang w:val="en-NZ"/>
        </w:rPr>
        <w:t xml:space="preserve">Shane Gardiner was kept in custody by the Department of Corrections for longer than he should have been. He claimed false imprisonment and sought an award of damages. </w:t>
      </w:r>
    </w:p>
    <w:p w14:paraId="130CEFEB" w14:textId="77777777" w:rsidR="00C34CA7" w:rsidRPr="003D2840" w:rsidRDefault="00C34CA7" w:rsidP="00A661A5">
      <w:pPr>
        <w:spacing w:line="276" w:lineRule="auto"/>
        <w:rPr>
          <w:rFonts w:ascii="Book Antiqua" w:hAnsi="Book Antiqua"/>
          <w:sz w:val="22"/>
          <w:szCs w:val="22"/>
          <w:lang w:val="en-NZ"/>
        </w:rPr>
      </w:pPr>
    </w:p>
    <w:p w14:paraId="13C204DF" w14:textId="77777777" w:rsidR="003D2840" w:rsidRDefault="003D2840" w:rsidP="00A661A5">
      <w:pPr>
        <w:spacing w:line="276" w:lineRule="auto"/>
        <w:rPr>
          <w:rFonts w:ascii="Book Antiqua" w:hAnsi="Book Antiqua"/>
          <w:sz w:val="22"/>
          <w:szCs w:val="22"/>
          <w:lang w:val="en-NZ"/>
        </w:rPr>
      </w:pPr>
      <w:r w:rsidRPr="003D2840">
        <w:rPr>
          <w:rFonts w:ascii="Book Antiqua" w:hAnsi="Book Antiqua"/>
          <w:sz w:val="22"/>
          <w:szCs w:val="22"/>
          <w:lang w:val="en-NZ"/>
        </w:rPr>
        <w:t>The facts were relatively straight forward. Mr Gardiner was released on 23</w:t>
      </w:r>
      <w:r w:rsidRPr="003D2840">
        <w:rPr>
          <w:rFonts w:ascii="Book Antiqua" w:hAnsi="Book Antiqua"/>
          <w:sz w:val="22"/>
          <w:szCs w:val="22"/>
          <w:vertAlign w:val="superscript"/>
          <w:lang w:val="en-NZ"/>
        </w:rPr>
        <w:t>rd</w:t>
      </w:r>
      <w:r w:rsidRPr="003D2840">
        <w:rPr>
          <w:rFonts w:ascii="Book Antiqua" w:hAnsi="Book Antiqua"/>
          <w:sz w:val="22"/>
          <w:szCs w:val="22"/>
          <w:lang w:val="en-NZ"/>
        </w:rPr>
        <w:t xml:space="preserve"> September 2016, prison staff understanding that his statutory release date was the 2</w:t>
      </w:r>
      <w:r w:rsidRPr="003D2840">
        <w:rPr>
          <w:rFonts w:ascii="Book Antiqua" w:hAnsi="Book Antiqua"/>
          <w:sz w:val="22"/>
          <w:szCs w:val="22"/>
          <w:vertAlign w:val="superscript"/>
          <w:lang w:val="en-NZ"/>
        </w:rPr>
        <w:t>nd</w:t>
      </w:r>
      <w:r w:rsidRPr="003D2840">
        <w:rPr>
          <w:rFonts w:ascii="Book Antiqua" w:hAnsi="Book Antiqua"/>
          <w:sz w:val="22"/>
          <w:szCs w:val="22"/>
          <w:lang w:val="en-NZ"/>
        </w:rPr>
        <w:t xml:space="preserve"> October as a result of the Court of Appeal’s interpretation of credit for pre-sentence detention in </w:t>
      </w:r>
      <w:r w:rsidRPr="003D2840">
        <w:rPr>
          <w:rFonts w:ascii="Book Antiqua" w:hAnsi="Book Antiqua"/>
          <w:i/>
          <w:sz w:val="22"/>
          <w:szCs w:val="22"/>
          <w:lang w:val="en-NZ"/>
        </w:rPr>
        <w:t>Taylor v Superintendent of Auckland Prison</w:t>
      </w:r>
      <w:r w:rsidRPr="003D2840">
        <w:rPr>
          <w:rFonts w:ascii="Book Antiqua" w:hAnsi="Book Antiqua"/>
          <w:sz w:val="22"/>
          <w:szCs w:val="22"/>
          <w:vertAlign w:val="superscript"/>
          <w:lang w:val="en-NZ"/>
        </w:rPr>
        <w:footnoteReference w:id="12"/>
      </w:r>
      <w:r w:rsidRPr="003D2840">
        <w:rPr>
          <w:rFonts w:ascii="Book Antiqua" w:hAnsi="Book Antiqua"/>
          <w:sz w:val="22"/>
          <w:szCs w:val="22"/>
          <w:lang w:val="en-NZ"/>
        </w:rPr>
        <w:t>. Ironically, on 22</w:t>
      </w:r>
      <w:r w:rsidRPr="003D2840">
        <w:rPr>
          <w:rFonts w:ascii="Book Antiqua" w:hAnsi="Book Antiqua"/>
          <w:sz w:val="22"/>
          <w:szCs w:val="22"/>
          <w:vertAlign w:val="superscript"/>
          <w:lang w:val="en-NZ"/>
        </w:rPr>
        <w:t>nd</w:t>
      </w:r>
      <w:r w:rsidRPr="003D2840">
        <w:rPr>
          <w:rFonts w:ascii="Book Antiqua" w:hAnsi="Book Antiqua"/>
          <w:sz w:val="22"/>
          <w:szCs w:val="22"/>
          <w:lang w:val="en-NZ"/>
        </w:rPr>
        <w:t xml:space="preserve"> September the Supreme Court held that </w:t>
      </w:r>
      <w:r w:rsidRPr="003D2840">
        <w:rPr>
          <w:rFonts w:ascii="Book Antiqua" w:hAnsi="Book Antiqua"/>
          <w:i/>
          <w:sz w:val="22"/>
          <w:szCs w:val="22"/>
          <w:lang w:val="en-NZ"/>
        </w:rPr>
        <w:t>Taylor</w:t>
      </w:r>
      <w:r w:rsidRPr="003D2840">
        <w:rPr>
          <w:rFonts w:ascii="Book Antiqua" w:hAnsi="Book Antiqua"/>
          <w:sz w:val="22"/>
          <w:szCs w:val="22"/>
          <w:lang w:val="en-NZ"/>
        </w:rPr>
        <w:t xml:space="preserve"> was wrongly decided</w:t>
      </w:r>
      <w:r w:rsidRPr="003D2840">
        <w:rPr>
          <w:rFonts w:ascii="Book Antiqua" w:hAnsi="Book Antiqua"/>
          <w:sz w:val="22"/>
          <w:szCs w:val="22"/>
          <w:vertAlign w:val="superscript"/>
          <w:lang w:val="en-NZ"/>
        </w:rPr>
        <w:footnoteReference w:id="13"/>
      </w:r>
      <w:r w:rsidRPr="003D2840">
        <w:rPr>
          <w:rFonts w:ascii="Book Antiqua" w:hAnsi="Book Antiqua"/>
          <w:sz w:val="22"/>
          <w:szCs w:val="22"/>
          <w:lang w:val="en-NZ"/>
        </w:rPr>
        <w:t>. Applying the Supreme Court’s interpretation Mr Gardiner should have been released on 24</w:t>
      </w:r>
      <w:r w:rsidRPr="003D2840">
        <w:rPr>
          <w:rFonts w:ascii="Book Antiqua" w:hAnsi="Book Antiqua"/>
          <w:sz w:val="22"/>
          <w:szCs w:val="22"/>
          <w:vertAlign w:val="superscript"/>
          <w:lang w:val="en-NZ"/>
        </w:rPr>
        <w:t>th</w:t>
      </w:r>
      <w:r w:rsidRPr="003D2840">
        <w:rPr>
          <w:rFonts w:ascii="Book Antiqua" w:hAnsi="Book Antiqua"/>
          <w:sz w:val="22"/>
          <w:szCs w:val="22"/>
          <w:lang w:val="en-NZ"/>
        </w:rPr>
        <w:t xml:space="preserve"> August 2016. He had therefore spent 30 days longer than he should have in prison. He successfully sued for false imprisonment and in a subsequent judgment was awarded damages of $10,000 and costs</w:t>
      </w:r>
      <w:r w:rsidRPr="003D2840">
        <w:rPr>
          <w:rFonts w:ascii="Book Antiqua" w:hAnsi="Book Antiqua"/>
          <w:sz w:val="22"/>
          <w:szCs w:val="22"/>
          <w:vertAlign w:val="superscript"/>
          <w:lang w:val="en-NZ"/>
        </w:rPr>
        <w:footnoteReference w:id="14"/>
      </w:r>
      <w:r w:rsidRPr="003D2840">
        <w:rPr>
          <w:rFonts w:ascii="Book Antiqua" w:hAnsi="Book Antiqua"/>
          <w:sz w:val="22"/>
          <w:szCs w:val="22"/>
          <w:lang w:val="en-NZ"/>
        </w:rPr>
        <w:t>. Both decisions were appealed by the Chief Executive who contested the finding of liability and award of damages arguing that the Supreme Court’s decision was prospective and damages were barred by the Prisoners and Victims Claims Act 2005 (PVCA). Mr Gardiner appealed the quantum of damages.</w:t>
      </w:r>
    </w:p>
    <w:p w14:paraId="725CC111" w14:textId="77777777" w:rsidR="00C34CA7" w:rsidRPr="003D2840" w:rsidRDefault="00C34CA7" w:rsidP="00A661A5">
      <w:pPr>
        <w:spacing w:line="276" w:lineRule="auto"/>
        <w:rPr>
          <w:rFonts w:ascii="Book Antiqua" w:hAnsi="Book Antiqua"/>
          <w:sz w:val="22"/>
          <w:szCs w:val="22"/>
          <w:lang w:val="en-NZ"/>
        </w:rPr>
      </w:pPr>
    </w:p>
    <w:p w14:paraId="1541A140" w14:textId="77777777" w:rsidR="003D2840" w:rsidRDefault="003D2840" w:rsidP="00A661A5">
      <w:pPr>
        <w:spacing w:line="276" w:lineRule="auto"/>
        <w:rPr>
          <w:rFonts w:ascii="Book Antiqua" w:hAnsi="Book Antiqua"/>
          <w:sz w:val="22"/>
          <w:szCs w:val="22"/>
          <w:lang w:val="en-NZ"/>
        </w:rPr>
      </w:pPr>
      <w:r w:rsidRPr="003D2840">
        <w:rPr>
          <w:rFonts w:ascii="Book Antiqua" w:hAnsi="Book Antiqua"/>
          <w:sz w:val="22"/>
          <w:szCs w:val="22"/>
          <w:lang w:val="en-NZ"/>
        </w:rPr>
        <w:t>Dealing with these issues in turn. The Supreme Court’s judgment having settled the law, what was relevant here was whether it operated retrospectively. Before the decision, pre-sentence detention where there were concurrent sentences were calculated on a charge by charge – rather than an aggregate -basis. Using this formulation Mr Gardiner would have been correctly detained until 2</w:t>
      </w:r>
      <w:r w:rsidRPr="003D2840">
        <w:rPr>
          <w:rFonts w:ascii="Book Antiqua" w:hAnsi="Book Antiqua"/>
          <w:sz w:val="22"/>
          <w:szCs w:val="22"/>
          <w:vertAlign w:val="superscript"/>
          <w:lang w:val="en-NZ"/>
        </w:rPr>
        <w:t>nd</w:t>
      </w:r>
      <w:r w:rsidRPr="003D2840">
        <w:rPr>
          <w:rFonts w:ascii="Book Antiqua" w:hAnsi="Book Antiqua"/>
          <w:sz w:val="22"/>
          <w:szCs w:val="22"/>
          <w:lang w:val="en-NZ"/>
        </w:rPr>
        <w:t xml:space="preserve"> October. The Supreme Court had held, however, that pre-sentence detention is to be calculated in the aggregate so that a prisoner serving concurrent sentences is entitled to credit for all pre-sentence detention even where it pre-dates the offence that received the longest sentence at subsequent sentencing. In relation to the question of whether judges can make law that has retrospective effect, the position in New Zealand is that prospective–only ruling remains an open question that will require an answer only if a court has reason to think that retrospective overruling will change settled expectations and cause hardship to such an unusual extent that departure from normal practice might be justified; at [19].</w:t>
      </w:r>
    </w:p>
    <w:p w14:paraId="6B6799F1" w14:textId="77777777" w:rsidR="00C34CA7" w:rsidRPr="003D2840" w:rsidRDefault="00C34CA7" w:rsidP="00A661A5">
      <w:pPr>
        <w:spacing w:line="276" w:lineRule="auto"/>
        <w:rPr>
          <w:rFonts w:ascii="Book Antiqua" w:hAnsi="Book Antiqua"/>
          <w:sz w:val="22"/>
          <w:szCs w:val="22"/>
          <w:lang w:val="en-NZ"/>
        </w:rPr>
      </w:pPr>
    </w:p>
    <w:p w14:paraId="11D3DD9C" w14:textId="77777777" w:rsidR="003D2840" w:rsidRDefault="003D2840" w:rsidP="00A661A5">
      <w:pPr>
        <w:spacing w:line="276" w:lineRule="auto"/>
        <w:rPr>
          <w:rFonts w:ascii="Book Antiqua" w:hAnsi="Book Antiqua"/>
          <w:sz w:val="22"/>
          <w:szCs w:val="22"/>
          <w:lang w:val="en-NZ"/>
        </w:rPr>
      </w:pPr>
      <w:r w:rsidRPr="003D2840">
        <w:rPr>
          <w:rFonts w:ascii="Book Antiqua" w:hAnsi="Book Antiqua"/>
          <w:sz w:val="22"/>
          <w:szCs w:val="22"/>
          <w:lang w:val="en-NZ"/>
        </w:rPr>
        <w:t xml:space="preserve">The Court upheld the decision in Mr Gardiner’s case, noting that had the Supreme Court meant to limit the retrospective effect of its judgment it would have said so. The Chief Executive had argued that such an outcome would be unfair. He had followed </w:t>
      </w:r>
      <w:r w:rsidRPr="003D2840">
        <w:rPr>
          <w:rFonts w:ascii="Book Antiqua" w:hAnsi="Book Antiqua"/>
          <w:i/>
          <w:sz w:val="22"/>
          <w:szCs w:val="22"/>
          <w:lang w:val="en-NZ"/>
        </w:rPr>
        <w:t>Taylor</w:t>
      </w:r>
      <w:r w:rsidRPr="003D2840">
        <w:rPr>
          <w:rFonts w:ascii="Book Antiqua" w:hAnsi="Book Antiqua"/>
          <w:sz w:val="22"/>
          <w:szCs w:val="22"/>
          <w:lang w:val="en-NZ"/>
        </w:rPr>
        <w:t xml:space="preserve"> in good faith and to decide otherwise would expose him to liability to many other prisoners. While the Court found his concern to be understandable, it held that good faith is no defence to the tort of false imprisonment. The Chief Executive was liable as an agent of the State and unlawful detention is prima facie unfair to the individual detained no matter how many prisoners were affected: at [24].</w:t>
      </w:r>
    </w:p>
    <w:p w14:paraId="00899AA1" w14:textId="77777777" w:rsidR="00C34CA7" w:rsidRPr="003D2840" w:rsidRDefault="00C34CA7" w:rsidP="00A661A5">
      <w:pPr>
        <w:spacing w:line="276" w:lineRule="auto"/>
        <w:rPr>
          <w:rFonts w:ascii="Book Antiqua" w:hAnsi="Book Antiqua"/>
          <w:sz w:val="22"/>
          <w:szCs w:val="22"/>
          <w:lang w:val="en-NZ"/>
        </w:rPr>
      </w:pPr>
    </w:p>
    <w:p w14:paraId="07E9567C" w14:textId="77777777" w:rsidR="003D2840" w:rsidRDefault="003D2840" w:rsidP="00A661A5">
      <w:pPr>
        <w:spacing w:line="276" w:lineRule="auto"/>
        <w:rPr>
          <w:rFonts w:ascii="Book Antiqua" w:hAnsi="Book Antiqua"/>
          <w:sz w:val="22"/>
          <w:szCs w:val="22"/>
          <w:lang w:val="en-NZ"/>
        </w:rPr>
      </w:pPr>
      <w:r w:rsidRPr="003D2840">
        <w:rPr>
          <w:rFonts w:ascii="Book Antiqua" w:hAnsi="Book Antiqua"/>
          <w:sz w:val="22"/>
          <w:szCs w:val="22"/>
          <w:lang w:val="en-NZ"/>
        </w:rPr>
        <w:t xml:space="preserve">As to the issue of compensation under the PVCA, a claim for compensation by a prisoner for an act or omission of the Crown can only be awarded if the plaintiff has made reasonable use of “reasonably available complaints mechanism and had no redress”. The Chief Executive argued that Mr Gardiner’s failure to employ all the complaints mechanisms was a bar to compensation even if they wouldn’t have done him any good because the understanding was that the law was as stated in </w:t>
      </w:r>
      <w:r w:rsidRPr="003D2840">
        <w:rPr>
          <w:rFonts w:ascii="Book Antiqua" w:hAnsi="Book Antiqua"/>
          <w:i/>
          <w:sz w:val="22"/>
          <w:szCs w:val="22"/>
          <w:lang w:val="en-NZ"/>
        </w:rPr>
        <w:t xml:space="preserve">Taylor </w:t>
      </w:r>
      <w:r w:rsidRPr="003D2840">
        <w:rPr>
          <w:rFonts w:ascii="Book Antiqua" w:hAnsi="Book Antiqua"/>
          <w:sz w:val="22"/>
          <w:szCs w:val="22"/>
          <w:lang w:val="en-NZ"/>
        </w:rPr>
        <w:t xml:space="preserve">and Corrections had to follow it. The Court disagreed. It considered that Parliament could not have intended that a prisoner must use mechanisms that could not possibly offer any redress and which he might rightly think were pointless. The PVCA did not bar Mr Gardiner’s claim. </w:t>
      </w:r>
    </w:p>
    <w:p w14:paraId="39FDD181" w14:textId="77777777" w:rsidR="00C34CA7" w:rsidRPr="003D2840" w:rsidRDefault="00C34CA7" w:rsidP="00A661A5">
      <w:pPr>
        <w:spacing w:line="276" w:lineRule="auto"/>
        <w:rPr>
          <w:rFonts w:ascii="Book Antiqua" w:hAnsi="Book Antiqua"/>
          <w:sz w:val="22"/>
          <w:szCs w:val="22"/>
          <w:lang w:val="en-NZ"/>
        </w:rPr>
      </w:pPr>
    </w:p>
    <w:p w14:paraId="1DA777FD" w14:textId="77777777" w:rsidR="003D2840" w:rsidRDefault="003D2840" w:rsidP="00A661A5">
      <w:pPr>
        <w:spacing w:line="276" w:lineRule="auto"/>
        <w:rPr>
          <w:rFonts w:ascii="Book Antiqua" w:hAnsi="Book Antiqua"/>
          <w:sz w:val="22"/>
          <w:szCs w:val="22"/>
          <w:lang w:val="en-NZ"/>
        </w:rPr>
      </w:pPr>
      <w:r w:rsidRPr="003D2840">
        <w:rPr>
          <w:rFonts w:ascii="Book Antiqua" w:hAnsi="Book Antiqua"/>
          <w:sz w:val="22"/>
          <w:szCs w:val="22"/>
          <w:lang w:val="en-NZ"/>
        </w:rPr>
        <w:t xml:space="preserve">As to whether damages were the right remedy and a declaration would have sufficed, the Court found that cases such as this could be considered exceptional for reason such as the impact on the person’s liberty or the unavailability of alternative redress. It followed that compensation was merited in this case. As to the quantum of damages, the Court discussed the difficulties in applying the Cabinet Guidelines and the difficulties a prisoner can face in such cases noting too that liberty is a fundamental right and its unlawful loss may justify the emphasis of an award of damages, but the amount need not be the same in all circumstances. It went on to conclude that an award must be large enough to vindicate the important liberty interest, but there was no need cause to increase that sum for emotional harm or deterrence: at [69]. Accordingly there was no reason to increase the sum of damages. On the other hand, Mr Gardiner had been successful in resisting the Chief Executive’s appeals so he was entitled to costs. </w:t>
      </w:r>
    </w:p>
    <w:p w14:paraId="595B127C" w14:textId="77777777" w:rsidR="00C34CA7" w:rsidRPr="003D2840" w:rsidRDefault="00C34CA7" w:rsidP="00A661A5">
      <w:pPr>
        <w:spacing w:line="276" w:lineRule="auto"/>
        <w:rPr>
          <w:rFonts w:ascii="Book Antiqua" w:hAnsi="Book Antiqua"/>
          <w:sz w:val="22"/>
          <w:szCs w:val="22"/>
          <w:lang w:val="en-NZ"/>
        </w:rPr>
      </w:pPr>
    </w:p>
    <w:p w14:paraId="3CB2ED71" w14:textId="77777777" w:rsidR="003D2840" w:rsidRPr="003D2840" w:rsidRDefault="003D2840" w:rsidP="00A661A5">
      <w:pPr>
        <w:spacing w:line="276" w:lineRule="auto"/>
        <w:rPr>
          <w:rFonts w:ascii="Book Antiqua" w:hAnsi="Book Antiqua"/>
          <w:sz w:val="22"/>
          <w:szCs w:val="22"/>
          <w:lang w:val="en-NZ"/>
        </w:rPr>
      </w:pPr>
      <w:r w:rsidRPr="003D2840">
        <w:rPr>
          <w:rFonts w:ascii="Book Antiqua" w:hAnsi="Book Antiqua"/>
          <w:sz w:val="22"/>
          <w:szCs w:val="22"/>
          <w:lang w:val="en-NZ"/>
        </w:rPr>
        <w:t xml:space="preserve">The case is a useful indication of the price that society places on the right to liberty. As Simon France J observed in the High Court, </w:t>
      </w:r>
      <w:r w:rsidRPr="003D2840">
        <w:rPr>
          <w:rFonts w:ascii="Book Antiqua" w:hAnsi="Book Antiqua"/>
          <w:i/>
          <w:sz w:val="22"/>
          <w:szCs w:val="22"/>
          <w:lang w:val="en-NZ"/>
        </w:rPr>
        <w:t>the right not to have one’s liberty removed other than with lawful authority is a key plank of our society and one of its most important and fundamental rules … False imprisonment is a tort of strict liability for good reason</w:t>
      </w:r>
      <w:r w:rsidRPr="003D2840">
        <w:rPr>
          <w:rFonts w:ascii="Book Antiqua" w:hAnsi="Book Antiqua"/>
          <w:sz w:val="22"/>
          <w:szCs w:val="22"/>
          <w:lang w:val="en-NZ"/>
        </w:rPr>
        <w:t xml:space="preserve">.        </w:t>
      </w:r>
    </w:p>
    <w:p w14:paraId="48DBBB76" w14:textId="77777777" w:rsidR="00A24B36" w:rsidRDefault="00A24B36" w:rsidP="00A661A5">
      <w:pPr>
        <w:spacing w:line="276" w:lineRule="auto"/>
        <w:rPr>
          <w:rFonts w:ascii="Book Antiqua" w:eastAsiaTheme="minorHAnsi" w:hAnsi="Book Antiqua" w:cstheme="majorHAnsi"/>
          <w:sz w:val="22"/>
          <w:szCs w:val="22"/>
          <w:lang w:val="en-NZ"/>
        </w:rPr>
      </w:pPr>
    </w:p>
    <w:p w14:paraId="67453E5C" w14:textId="77777777" w:rsidR="007700E3" w:rsidRPr="00722048" w:rsidRDefault="007700E3" w:rsidP="00A661A5">
      <w:pPr>
        <w:spacing w:line="276" w:lineRule="auto"/>
        <w:rPr>
          <w:rFonts w:ascii="Book Antiqua" w:eastAsiaTheme="minorHAnsi" w:hAnsi="Book Antiqua" w:cstheme="majorHAnsi"/>
          <w:sz w:val="22"/>
          <w:szCs w:val="22"/>
          <w:lang w:val="en-NZ"/>
        </w:rPr>
      </w:pPr>
    </w:p>
    <w:p w14:paraId="2A7E89F9" w14:textId="77777777" w:rsidR="008E6A76" w:rsidRDefault="008E6A76" w:rsidP="00A661A5">
      <w:pPr>
        <w:spacing w:line="276" w:lineRule="auto"/>
        <w:rPr>
          <w:rFonts w:ascii="Book Antiqua" w:eastAsiaTheme="majorEastAsia" w:hAnsi="Book Antiqua" w:cstheme="majorBidi"/>
          <w:b/>
          <w:i/>
          <w:color w:val="365F91" w:themeColor="accent1" w:themeShade="BF"/>
          <w:lang w:val="en-NZ"/>
        </w:rPr>
      </w:pPr>
      <w:bookmarkStart w:id="23" w:name="_Quake_Outcasts_v"/>
      <w:bookmarkEnd w:id="23"/>
      <w:r w:rsidRPr="008E6A76">
        <w:rPr>
          <w:rFonts w:ascii="Book Antiqua" w:eastAsiaTheme="majorEastAsia" w:hAnsi="Book Antiqua" w:cstheme="majorBidi"/>
          <w:b/>
          <w:i/>
          <w:color w:val="365F91" w:themeColor="accent1" w:themeShade="BF"/>
          <w:lang w:val="en-NZ"/>
        </w:rPr>
        <w:t xml:space="preserve">Attorney-General on Behalf of the Department of Corrections v Smith </w:t>
      </w:r>
      <w:r w:rsidRPr="00C34CA7">
        <w:rPr>
          <w:rFonts w:ascii="Book Antiqua" w:eastAsiaTheme="majorEastAsia" w:hAnsi="Book Antiqua" w:cstheme="majorBidi"/>
          <w:b/>
          <w:color w:val="365F91" w:themeColor="accent1" w:themeShade="BF"/>
          <w:lang w:val="en-NZ"/>
        </w:rPr>
        <w:t xml:space="preserve">[2018] NZCA 24 </w:t>
      </w:r>
    </w:p>
    <w:p w14:paraId="1CA7424C" w14:textId="2899166B" w:rsidR="005D4803" w:rsidRPr="00C34CA7" w:rsidRDefault="008E6A76" w:rsidP="00A661A5">
      <w:pPr>
        <w:spacing w:line="276" w:lineRule="auto"/>
        <w:rPr>
          <w:rFonts w:ascii="Book Antiqua" w:hAnsi="Book Antiqua"/>
          <w:i/>
          <w:szCs w:val="24"/>
          <w:lang w:val="en-NZ"/>
        </w:rPr>
      </w:pPr>
      <w:r w:rsidRPr="00C34CA7">
        <w:rPr>
          <w:rFonts w:ascii="Book Antiqua" w:hAnsi="Book Antiqua"/>
          <w:i/>
          <w:szCs w:val="24"/>
          <w:lang w:val="en-NZ"/>
        </w:rPr>
        <w:t>Right to freedom of expression</w:t>
      </w:r>
    </w:p>
    <w:p w14:paraId="1D345956" w14:textId="77777777" w:rsidR="008E6A76" w:rsidRPr="00520471" w:rsidRDefault="008E6A76" w:rsidP="00A661A5">
      <w:pPr>
        <w:spacing w:line="276" w:lineRule="auto"/>
        <w:rPr>
          <w:rFonts w:ascii="Book Antiqua" w:hAnsi="Book Antiqua"/>
          <w:b/>
          <w:sz w:val="22"/>
          <w:szCs w:val="22"/>
          <w:lang w:val="en-NZ"/>
        </w:rPr>
      </w:pPr>
    </w:p>
    <w:p w14:paraId="4E7B7A4C" w14:textId="77777777" w:rsidR="008E6A76" w:rsidRDefault="008E6A76" w:rsidP="00A661A5">
      <w:pPr>
        <w:spacing w:line="276" w:lineRule="auto"/>
        <w:jc w:val="both"/>
        <w:rPr>
          <w:rFonts w:ascii="Book Antiqua" w:hAnsi="Book Antiqua"/>
          <w:sz w:val="22"/>
          <w:szCs w:val="22"/>
          <w:lang w:val="en-NZ"/>
        </w:rPr>
      </w:pPr>
      <w:r w:rsidRPr="00520471">
        <w:rPr>
          <w:rFonts w:ascii="Book Antiqua" w:hAnsi="Book Antiqua"/>
          <w:sz w:val="22"/>
          <w:szCs w:val="22"/>
          <w:lang w:val="en-NZ"/>
        </w:rPr>
        <w:t xml:space="preserve">This was an appeal by the Crown against a High Court decision that found Mr Smith’s right to freedom of expression had been breached when he was unable to wear a wig while in prison. The Court found that in denying him the right to do so, the Prison Manager should have followed a process which acknowledged his NZBORA rights and why the breach could be justified. </w:t>
      </w:r>
    </w:p>
    <w:p w14:paraId="09D4C10E" w14:textId="77777777" w:rsidR="00520471" w:rsidRPr="00520471" w:rsidRDefault="00520471" w:rsidP="00A661A5">
      <w:pPr>
        <w:spacing w:line="276" w:lineRule="auto"/>
        <w:jc w:val="both"/>
        <w:rPr>
          <w:rFonts w:ascii="Book Antiqua" w:hAnsi="Book Antiqua"/>
          <w:sz w:val="22"/>
          <w:szCs w:val="22"/>
          <w:lang w:val="en-NZ"/>
        </w:rPr>
      </w:pPr>
    </w:p>
    <w:p w14:paraId="720FA540" w14:textId="77777777" w:rsidR="008E6A76" w:rsidRDefault="008E6A76" w:rsidP="00A661A5">
      <w:pPr>
        <w:spacing w:line="276" w:lineRule="auto"/>
        <w:jc w:val="both"/>
        <w:rPr>
          <w:rFonts w:ascii="Book Antiqua" w:hAnsi="Book Antiqua"/>
          <w:sz w:val="22"/>
          <w:szCs w:val="22"/>
          <w:lang w:val="en-NZ"/>
        </w:rPr>
      </w:pPr>
      <w:r w:rsidRPr="00520471">
        <w:rPr>
          <w:rFonts w:ascii="Book Antiqua" w:hAnsi="Book Antiqua"/>
          <w:sz w:val="22"/>
          <w:szCs w:val="22"/>
          <w:lang w:val="en-NZ"/>
        </w:rPr>
        <w:t>Mr Smith had been sentenced to life imprisonment in 1996. Sometime later he began to lose his hair and sought permission to wear a wig as a way of boosting his confidence and self-esteem. After granting him the right to do so, the Prison Manager revoked permission after he absconded while on temporary leave. When Mr Smith subsequently appeared in the District Court in connection with his escape he was completely bald and the media published photos of him with and without his wig, the wig having changed his appearance partly facilitating his escape.</w:t>
      </w:r>
    </w:p>
    <w:p w14:paraId="41FEDF99" w14:textId="77777777" w:rsidR="00520471" w:rsidRPr="00520471" w:rsidRDefault="00520471" w:rsidP="00A661A5">
      <w:pPr>
        <w:spacing w:line="276" w:lineRule="auto"/>
        <w:jc w:val="both"/>
        <w:rPr>
          <w:rFonts w:ascii="Book Antiqua" w:hAnsi="Book Antiqua"/>
          <w:sz w:val="22"/>
          <w:szCs w:val="22"/>
          <w:lang w:val="en-NZ"/>
        </w:rPr>
      </w:pPr>
    </w:p>
    <w:p w14:paraId="5D437AD0" w14:textId="77777777" w:rsidR="008E6A76" w:rsidRPr="00520471" w:rsidRDefault="008E6A76" w:rsidP="00A661A5">
      <w:pPr>
        <w:spacing w:line="276" w:lineRule="auto"/>
        <w:jc w:val="both"/>
        <w:rPr>
          <w:rFonts w:ascii="Book Antiqua" w:hAnsi="Book Antiqua"/>
          <w:sz w:val="22"/>
          <w:szCs w:val="22"/>
          <w:lang w:val="en-NZ"/>
        </w:rPr>
      </w:pPr>
      <w:r w:rsidRPr="00520471">
        <w:rPr>
          <w:rFonts w:ascii="Book Antiqua" w:hAnsi="Book Antiqua"/>
          <w:sz w:val="22"/>
          <w:szCs w:val="22"/>
          <w:lang w:val="en-NZ"/>
        </w:rPr>
        <w:t>Mr Smith appealed. The Court of Appeal had to decide whether his wish to wear a wig engaged the right to freedom of expression and, if this was found to be the case, should the Prison Manager have undertaken a proportionality analysis to decide whether infringement of the right was justified under s.5. It found that s.14 not only protects speech but also conduct. Recognising that free speech is the engine room of a democratic society and is valuable as human self-fulfilment. Wearing a wig is not excluded from the protection of s.14 but one must question whether it amounts to expression. The issue is the purpose of the conduct. The Supreme Court of Canada held that expression requires an activity that conveys a meaning</w:t>
      </w:r>
      <w:r w:rsidRPr="00520471">
        <w:rPr>
          <w:rFonts w:ascii="Book Antiqua" w:hAnsi="Book Antiqua"/>
          <w:sz w:val="22"/>
          <w:szCs w:val="22"/>
          <w:vertAlign w:val="superscript"/>
          <w:lang w:val="en-NZ"/>
        </w:rPr>
        <w:footnoteReference w:id="15"/>
      </w:r>
      <w:r w:rsidRPr="00520471">
        <w:rPr>
          <w:rFonts w:ascii="Book Antiqua" w:hAnsi="Book Antiqua"/>
          <w:sz w:val="22"/>
          <w:szCs w:val="22"/>
          <w:lang w:val="en-NZ"/>
        </w:rPr>
        <w:t xml:space="preserve">. Not all purely physical activities convey a meaning. To bring it within s.14 a person would need to show that an act was performed for this purpose. In the United States, appearance cases have usually failed the expression test. For example in Karr v Schmidt </w:t>
      </w:r>
      <w:r w:rsidRPr="00520471">
        <w:rPr>
          <w:rFonts w:ascii="Book Antiqua" w:hAnsi="Book Antiqua"/>
          <w:sz w:val="22"/>
          <w:szCs w:val="22"/>
          <w:vertAlign w:val="superscript"/>
          <w:lang w:val="en-NZ"/>
        </w:rPr>
        <w:footnoteReference w:id="16"/>
      </w:r>
      <w:r w:rsidRPr="00520471">
        <w:rPr>
          <w:rFonts w:ascii="Book Antiqua" w:hAnsi="Book Antiqua"/>
          <w:sz w:val="22"/>
          <w:szCs w:val="22"/>
          <w:lang w:val="en-NZ"/>
        </w:rPr>
        <w:t>it was held that while long hair might convey a “discrete message”, merely liking having long hair did not assert any purpose. The First Amendment did not protect vague attenuated notions of expression. Rather, one needed to demonstrate that the conduct could be fairly described as imbued with elements of communication conveying a particularised message that was understood by those who viewed it.   In New Zealand, Blanchard J in Brooker v Police</w:t>
      </w:r>
      <w:r w:rsidRPr="00520471">
        <w:rPr>
          <w:rFonts w:ascii="Book Antiqua" w:hAnsi="Book Antiqua"/>
          <w:sz w:val="22"/>
          <w:szCs w:val="22"/>
          <w:vertAlign w:val="superscript"/>
          <w:lang w:val="en-NZ"/>
        </w:rPr>
        <w:footnoteReference w:id="17"/>
      </w:r>
      <w:r w:rsidRPr="00520471">
        <w:rPr>
          <w:rFonts w:ascii="Book Antiqua" w:hAnsi="Book Antiqua"/>
          <w:sz w:val="22"/>
          <w:szCs w:val="22"/>
          <w:lang w:val="en-NZ"/>
        </w:rPr>
        <w:t>observed that behaving in a disorderly fashion while drunk does not engage a NZBORA dimension and in Thompson v Police</w:t>
      </w:r>
      <w:r w:rsidRPr="00520471">
        <w:rPr>
          <w:rFonts w:ascii="Book Antiqua" w:hAnsi="Book Antiqua"/>
          <w:sz w:val="22"/>
          <w:szCs w:val="22"/>
          <w:vertAlign w:val="superscript"/>
          <w:lang w:val="en-NZ"/>
        </w:rPr>
        <w:footnoteReference w:id="18"/>
      </w:r>
      <w:r w:rsidRPr="00520471">
        <w:rPr>
          <w:rFonts w:ascii="Book Antiqua" w:hAnsi="Book Antiqua"/>
          <w:sz w:val="22"/>
          <w:szCs w:val="22"/>
          <w:lang w:val="en-NZ"/>
        </w:rPr>
        <w:t xml:space="preserve">, Priestley J stressed the need to ensure that expression which has a protected status is not to be confused with mindless utterance or sounds. </w:t>
      </w:r>
    </w:p>
    <w:p w14:paraId="00CB736E" w14:textId="77777777" w:rsidR="008E6A76" w:rsidRPr="00520471" w:rsidRDefault="008E6A76" w:rsidP="00A661A5">
      <w:pPr>
        <w:spacing w:line="276" w:lineRule="auto"/>
        <w:jc w:val="both"/>
        <w:rPr>
          <w:rFonts w:ascii="Book Antiqua" w:hAnsi="Book Antiqua"/>
          <w:sz w:val="22"/>
          <w:szCs w:val="22"/>
          <w:lang w:val="en-NZ"/>
        </w:rPr>
      </w:pPr>
    </w:p>
    <w:p w14:paraId="1817EBBA" w14:textId="77777777" w:rsidR="008E6A76" w:rsidRPr="00520471" w:rsidRDefault="008E6A76" w:rsidP="00A661A5">
      <w:pPr>
        <w:spacing w:line="276" w:lineRule="auto"/>
        <w:jc w:val="both"/>
        <w:rPr>
          <w:rFonts w:ascii="Book Antiqua" w:hAnsi="Book Antiqua"/>
          <w:sz w:val="22"/>
          <w:szCs w:val="22"/>
          <w:lang w:val="en-NZ"/>
        </w:rPr>
      </w:pPr>
      <w:r w:rsidRPr="00520471">
        <w:rPr>
          <w:rFonts w:ascii="Book Antiqua" w:hAnsi="Book Antiqua"/>
          <w:sz w:val="22"/>
          <w:szCs w:val="22"/>
          <w:lang w:val="en-NZ"/>
        </w:rPr>
        <w:t xml:space="preserve">It follows that the jurisprudence imposes a limit of protected expression – the expression must involve an attempt to convey a meaning to someone else and should not be used to protect behaviour that is totally devoid of meaningful content. Parliament could not have intended s.14 to apply in cases other than those involving conduct which was intended to convey - or attempt to convey – a meaning to others. While Mr Smith’s case the wig made him appear less distinctive and more ordinary, the fact that it simply made him feel better was the antithesis of expression. Wearing a wig for this reason did not convey meaning and it thus failed to meet the necessary requirements of s.14. </w:t>
      </w:r>
    </w:p>
    <w:p w14:paraId="71239061" w14:textId="77777777" w:rsidR="007700E3" w:rsidRDefault="007700E3" w:rsidP="00A661A5">
      <w:pPr>
        <w:spacing w:line="276" w:lineRule="auto"/>
        <w:jc w:val="both"/>
        <w:rPr>
          <w:rFonts w:ascii="Times New Roman" w:eastAsia="Times New Roman" w:hAnsi="Times New Roman"/>
          <w:lang w:eastAsia="en-NZ"/>
        </w:rPr>
      </w:pPr>
    </w:p>
    <w:p w14:paraId="7C66DE3C" w14:textId="77777777" w:rsidR="007700E3" w:rsidRPr="009F0C66" w:rsidRDefault="007700E3" w:rsidP="00A661A5">
      <w:pPr>
        <w:spacing w:line="276" w:lineRule="auto"/>
        <w:jc w:val="both"/>
        <w:rPr>
          <w:rFonts w:ascii="Times New Roman" w:eastAsia="Times New Roman" w:hAnsi="Times New Roman"/>
          <w:lang w:eastAsia="en-NZ"/>
        </w:rPr>
      </w:pPr>
    </w:p>
    <w:p w14:paraId="61241474" w14:textId="77777777" w:rsidR="00C76490" w:rsidRDefault="00C76490" w:rsidP="00A661A5">
      <w:pPr>
        <w:spacing w:line="276" w:lineRule="auto"/>
        <w:rPr>
          <w:rFonts w:ascii="Book Antiqua" w:eastAsiaTheme="majorEastAsia" w:hAnsi="Book Antiqua" w:cstheme="majorBidi"/>
          <w:b/>
          <w:i/>
          <w:color w:val="365F91" w:themeColor="accent1" w:themeShade="BF"/>
          <w:lang w:val="en-NZ"/>
        </w:rPr>
      </w:pPr>
      <w:bookmarkStart w:id="24" w:name="_Mark_David_Chisnall"/>
      <w:bookmarkEnd w:id="24"/>
      <w:r w:rsidRPr="00C76490">
        <w:rPr>
          <w:rFonts w:ascii="Book Antiqua" w:eastAsiaTheme="majorEastAsia" w:hAnsi="Book Antiqua" w:cstheme="majorBidi"/>
          <w:b/>
          <w:i/>
          <w:color w:val="365F91" w:themeColor="accent1" w:themeShade="BF"/>
          <w:lang w:val="en-NZ"/>
        </w:rPr>
        <w:t>Rudi Hartono and Ors v Ministry for Primary Industries</w:t>
      </w:r>
      <w:r w:rsidRPr="00520471">
        <w:rPr>
          <w:rFonts w:ascii="Book Antiqua" w:eastAsiaTheme="majorEastAsia" w:hAnsi="Book Antiqua" w:cstheme="majorBidi"/>
          <w:b/>
          <w:color w:val="365F91" w:themeColor="accent1" w:themeShade="BF"/>
          <w:lang w:val="en-NZ"/>
        </w:rPr>
        <w:t xml:space="preserve"> [2018] NZSC 17 </w:t>
      </w:r>
    </w:p>
    <w:p w14:paraId="5C40E97E" w14:textId="53A0F082" w:rsidR="006B5434" w:rsidRPr="00520471" w:rsidRDefault="006B5434" w:rsidP="00A661A5">
      <w:pPr>
        <w:spacing w:line="276" w:lineRule="auto"/>
        <w:rPr>
          <w:rFonts w:ascii="Book Antiqua" w:hAnsi="Book Antiqua"/>
          <w:i/>
        </w:rPr>
      </w:pPr>
      <w:r w:rsidRPr="00520471">
        <w:rPr>
          <w:rFonts w:ascii="Book Antiqua" w:hAnsi="Book Antiqua"/>
          <w:i/>
        </w:rPr>
        <w:t xml:space="preserve">The right to claim unpaid wages </w:t>
      </w:r>
    </w:p>
    <w:p w14:paraId="69D4BC2F" w14:textId="77777777" w:rsidR="00520471" w:rsidRPr="005C29FD" w:rsidRDefault="00520471" w:rsidP="00A661A5">
      <w:pPr>
        <w:spacing w:line="276" w:lineRule="auto"/>
        <w:rPr>
          <w:rFonts w:ascii="Times New Roman" w:hAnsi="Times New Roman"/>
          <w:b/>
        </w:rPr>
      </w:pPr>
    </w:p>
    <w:p w14:paraId="211DAA33" w14:textId="77777777" w:rsidR="00C41D09" w:rsidRPr="00520471" w:rsidRDefault="00C41D09" w:rsidP="00A661A5">
      <w:pPr>
        <w:spacing w:line="276" w:lineRule="auto"/>
        <w:jc w:val="both"/>
        <w:rPr>
          <w:rFonts w:ascii="Book Antiqua" w:hAnsi="Book Antiqua"/>
          <w:sz w:val="22"/>
          <w:szCs w:val="22"/>
          <w:lang w:val="en-NZ"/>
        </w:rPr>
      </w:pPr>
      <w:r w:rsidRPr="00520471">
        <w:rPr>
          <w:rFonts w:ascii="Book Antiqua" w:hAnsi="Book Antiqua"/>
          <w:sz w:val="22"/>
          <w:szCs w:val="22"/>
          <w:lang w:val="en-NZ"/>
        </w:rPr>
        <w:t xml:space="preserve">In our September bulletin we reported on the case of </w:t>
      </w:r>
      <w:r w:rsidRPr="00520471">
        <w:rPr>
          <w:rFonts w:ascii="Book Antiqua" w:hAnsi="Book Antiqua"/>
          <w:i/>
          <w:sz w:val="22"/>
          <w:szCs w:val="22"/>
          <w:lang w:val="en-NZ"/>
        </w:rPr>
        <w:t>Sajo Oyang Corp v Ministry for Primary Industries</w:t>
      </w:r>
      <w:r w:rsidRPr="00520471">
        <w:rPr>
          <w:rFonts w:ascii="Book Antiqua" w:hAnsi="Book Antiqua"/>
          <w:i/>
          <w:sz w:val="22"/>
          <w:szCs w:val="22"/>
          <w:vertAlign w:val="superscript"/>
          <w:lang w:val="en-NZ"/>
        </w:rPr>
        <w:footnoteReference w:id="19"/>
      </w:r>
      <w:r w:rsidRPr="00520471">
        <w:rPr>
          <w:rFonts w:ascii="Book Antiqua" w:hAnsi="Book Antiqua"/>
          <w:sz w:val="22"/>
          <w:szCs w:val="22"/>
          <w:lang w:val="en-NZ"/>
        </w:rPr>
        <w:t xml:space="preserve"> which dealt with whether the crew of foreign fishing boats forfeited to the Crown could register a claim against the vessels for unpaid wages when they had not worked on those boats. The men had been successful at the High Court but not the Court of Appeal which had concluded that claims for wages constituted an “interest” only if the wages had been earned on the vessel in question or proceedings in rem had been commenced before forfeiture.</w:t>
      </w:r>
    </w:p>
    <w:p w14:paraId="0A1735F4" w14:textId="77777777" w:rsidR="00C41D09" w:rsidRPr="00520471" w:rsidRDefault="00C41D09" w:rsidP="00A661A5">
      <w:pPr>
        <w:spacing w:line="276" w:lineRule="auto"/>
        <w:jc w:val="both"/>
        <w:rPr>
          <w:rFonts w:ascii="Book Antiqua" w:hAnsi="Book Antiqua"/>
          <w:sz w:val="22"/>
          <w:szCs w:val="22"/>
          <w:lang w:val="en-NZ"/>
        </w:rPr>
      </w:pPr>
      <w:r w:rsidRPr="00520471">
        <w:rPr>
          <w:rFonts w:ascii="Book Antiqua" w:hAnsi="Book Antiqua"/>
          <w:sz w:val="22"/>
          <w:szCs w:val="22"/>
          <w:lang w:val="en-NZ"/>
        </w:rPr>
        <w:t>The Supreme Court disagreed finding it came down to what was meant by an “interest” under the Fisheries Act, the legislation which governs activities of foreign fishing vessels operating in New Zealand’s Exclusive Economic Zone. Before 2002, ownership of a foreign vessel was the only interest recognised. It followed that a crew’s lien in respect of unpaid wages was not accepted for the purposes of relief against forfeiture. An amendment to the Fisheries Act was introduced in 2002 in response to a situation involving the provision of support and repatriation costs for foreign crews where their local agent had become bankrupt. In order to cover such contingencies, s.256 (which related to forfeited property) was amended to confer an interest on charitable third parties who had supported foreign crews.</w:t>
      </w:r>
    </w:p>
    <w:p w14:paraId="377D99CC" w14:textId="77777777" w:rsidR="00C41D09" w:rsidRPr="00520471" w:rsidRDefault="00C41D09" w:rsidP="00A661A5">
      <w:pPr>
        <w:spacing w:line="276" w:lineRule="auto"/>
        <w:jc w:val="both"/>
        <w:rPr>
          <w:rFonts w:ascii="Book Antiqua" w:hAnsi="Book Antiqua"/>
          <w:sz w:val="22"/>
          <w:szCs w:val="22"/>
          <w:lang w:val="en-NZ"/>
        </w:rPr>
      </w:pPr>
      <w:r w:rsidRPr="00520471">
        <w:rPr>
          <w:rFonts w:ascii="Book Antiqua" w:hAnsi="Book Antiqua"/>
          <w:sz w:val="22"/>
          <w:szCs w:val="22"/>
          <w:lang w:val="en-NZ"/>
        </w:rPr>
        <w:t>The Supreme Court found that the changes were consistent with a general understanding that claims for wages could be brought not only against the vessel on which the crew member worked but also other vessels. Given the vulnerable position of crews on foreign vessels and the reality of the bonding and release arrangements, such vessels can be outside the jurisdiction of the New Zealand courts and thus the practical reach of any wages claims: at [45]. The court held that claims for wages amounted to an “interest”, irrespective of whether they gave rise to a maritime lien or proceedings in rem had been commenced before forfeiture. The appeal was allowed, the judgment of the Court of Appeal set aside and that of the High Court reinstated.</w:t>
      </w:r>
    </w:p>
    <w:p w14:paraId="25D29602" w14:textId="77777777" w:rsidR="00C41D09" w:rsidRPr="00520471" w:rsidRDefault="00C41D09" w:rsidP="00A661A5">
      <w:pPr>
        <w:spacing w:line="276" w:lineRule="auto"/>
        <w:jc w:val="both"/>
        <w:rPr>
          <w:rFonts w:ascii="Book Antiqua" w:hAnsi="Book Antiqua"/>
          <w:sz w:val="22"/>
          <w:szCs w:val="22"/>
          <w:lang w:val="en-NZ"/>
        </w:rPr>
      </w:pPr>
    </w:p>
    <w:p w14:paraId="1AD1A2C6" w14:textId="77777777" w:rsidR="00C41D09" w:rsidRPr="00520471" w:rsidRDefault="00C41D09" w:rsidP="00A661A5">
      <w:pPr>
        <w:spacing w:line="276" w:lineRule="auto"/>
        <w:jc w:val="both"/>
        <w:rPr>
          <w:rFonts w:ascii="Book Antiqua" w:hAnsi="Book Antiqua"/>
          <w:sz w:val="22"/>
          <w:szCs w:val="22"/>
          <w:lang w:val="en-NZ"/>
        </w:rPr>
      </w:pPr>
    </w:p>
    <w:p w14:paraId="775E3A74" w14:textId="77777777" w:rsidR="00C41D09" w:rsidRPr="00520471" w:rsidRDefault="00C41D09" w:rsidP="00A661A5">
      <w:pPr>
        <w:spacing w:line="276" w:lineRule="auto"/>
        <w:jc w:val="both"/>
        <w:rPr>
          <w:rFonts w:ascii="Book Antiqua" w:hAnsi="Book Antiqua"/>
          <w:sz w:val="22"/>
          <w:szCs w:val="22"/>
          <w:lang w:val="en-NZ"/>
        </w:rPr>
      </w:pPr>
    </w:p>
    <w:p w14:paraId="3247A202" w14:textId="6A1155FE" w:rsidR="007A1F37" w:rsidRDefault="007A1F37" w:rsidP="007A1F37">
      <w:pPr>
        <w:pStyle w:val="Footer"/>
      </w:pPr>
      <w:r w:rsidRPr="00F01BBE">
        <w:rPr>
          <w:b/>
        </w:rPr>
        <w:t>Acknowledgements:</w:t>
      </w:r>
      <w:r>
        <w:t xml:space="preserve"> The June 2018 Human Rights Update E-Bulletin was collated and edited by Sylvia Bell, Research Fellow at the NZ Centre for Human Rights Law, Policy &amp; Practice; senior AU Law School students Dania Alsagoff and Sichen Xi contributed to case analyses and Conrad Young formatted the E-Bulletin.  </w:t>
      </w:r>
    </w:p>
    <w:p w14:paraId="055C7B81" w14:textId="35E1271A" w:rsidR="00375C78" w:rsidRPr="00375C78" w:rsidRDefault="00375C78" w:rsidP="00A661A5">
      <w:pPr>
        <w:spacing w:line="276" w:lineRule="auto"/>
        <w:jc w:val="both"/>
        <w:rPr>
          <w:rFonts w:ascii="Book Antiqua" w:hAnsi="Book Antiqua"/>
          <w:sz w:val="22"/>
          <w:szCs w:val="22"/>
        </w:rPr>
      </w:pPr>
    </w:p>
    <w:sectPr w:rsidR="00375C78" w:rsidRPr="00375C78" w:rsidSect="00FB50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98A50" w14:textId="77777777" w:rsidR="00E95825" w:rsidRDefault="00E95825" w:rsidP="00666E31">
      <w:r>
        <w:separator/>
      </w:r>
    </w:p>
  </w:endnote>
  <w:endnote w:type="continuationSeparator" w:id="0">
    <w:p w14:paraId="3CD89E4C" w14:textId="77777777" w:rsidR="00E95825" w:rsidRDefault="00E95825" w:rsidP="0066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隶书">
    <w:panose1 w:val="00000000000000000000"/>
    <w:charset w:val="00"/>
    <w:family w:val="roman"/>
    <w:notTrueType/>
    <w:pitch w:val="default"/>
  </w:font>
  <w:font w:name="Traditional Arabic">
    <w:altName w:val="Times New Roman"/>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sz w:val="20"/>
        <w:szCs w:val="20"/>
      </w:rPr>
      <w:id w:val="4155254"/>
      <w:docPartObj>
        <w:docPartGallery w:val="Page Numbers (Bottom of Page)"/>
        <w:docPartUnique/>
      </w:docPartObj>
    </w:sdtPr>
    <w:sdtEndPr/>
    <w:sdtContent>
      <w:p w14:paraId="3486D289" w14:textId="0962A9D1" w:rsidR="002E5D87" w:rsidRPr="002E5D87" w:rsidRDefault="00251D0D">
        <w:pPr>
          <w:pStyle w:val="Footer"/>
          <w:jc w:val="right"/>
          <w:rPr>
            <w:rFonts w:ascii="Book Antiqua" w:hAnsi="Book Antiqua"/>
            <w:sz w:val="20"/>
            <w:szCs w:val="20"/>
          </w:rPr>
        </w:pPr>
        <w:r w:rsidRPr="002E5D87">
          <w:rPr>
            <w:rFonts w:ascii="Book Antiqua" w:hAnsi="Book Antiqua"/>
            <w:sz w:val="20"/>
            <w:szCs w:val="20"/>
          </w:rPr>
          <w:fldChar w:fldCharType="begin"/>
        </w:r>
        <w:r w:rsidR="002E5D87" w:rsidRPr="002E5D87">
          <w:rPr>
            <w:rFonts w:ascii="Book Antiqua" w:hAnsi="Book Antiqua"/>
            <w:sz w:val="20"/>
            <w:szCs w:val="20"/>
          </w:rPr>
          <w:instrText xml:space="preserve"> PAGE   \* MERGEFORMAT </w:instrText>
        </w:r>
        <w:r w:rsidRPr="002E5D87">
          <w:rPr>
            <w:rFonts w:ascii="Book Antiqua" w:hAnsi="Book Antiqua"/>
            <w:sz w:val="20"/>
            <w:szCs w:val="20"/>
          </w:rPr>
          <w:fldChar w:fldCharType="separate"/>
        </w:r>
        <w:r w:rsidR="00DE2C1D">
          <w:rPr>
            <w:rFonts w:ascii="Book Antiqua" w:hAnsi="Book Antiqua"/>
            <w:noProof/>
            <w:sz w:val="20"/>
            <w:szCs w:val="20"/>
          </w:rPr>
          <w:t>1</w:t>
        </w:r>
        <w:r w:rsidRPr="002E5D87">
          <w:rPr>
            <w:rFonts w:ascii="Book Antiqua" w:hAnsi="Book Antiqua"/>
            <w:sz w:val="20"/>
            <w:szCs w:val="20"/>
          </w:rPr>
          <w:fldChar w:fldCharType="end"/>
        </w:r>
      </w:p>
    </w:sdtContent>
  </w:sdt>
  <w:p w14:paraId="3347ADEF" w14:textId="77777777" w:rsidR="000931BD" w:rsidRPr="002E5D87" w:rsidRDefault="000931BD">
    <w:pPr>
      <w:pStyle w:val="Footer"/>
      <w:rPr>
        <w:rFonts w:ascii="Book Antiqua" w:hAnsi="Book Antiqu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0D8C" w14:textId="77777777" w:rsidR="00E95825" w:rsidRDefault="00E95825" w:rsidP="00666E31">
      <w:r>
        <w:separator/>
      </w:r>
    </w:p>
  </w:footnote>
  <w:footnote w:type="continuationSeparator" w:id="0">
    <w:p w14:paraId="0097667F" w14:textId="77777777" w:rsidR="00E95825" w:rsidRDefault="00E95825" w:rsidP="00666E31">
      <w:r>
        <w:continuationSeparator/>
      </w:r>
    </w:p>
  </w:footnote>
  <w:footnote w:id="1">
    <w:p w14:paraId="3397A7E8" w14:textId="77777777" w:rsidR="00DB2D1E" w:rsidRPr="009131B9" w:rsidRDefault="00DB2D1E" w:rsidP="00DB2D1E">
      <w:pPr>
        <w:pStyle w:val="FootnoteText"/>
        <w:rPr>
          <w:rFonts w:ascii="Times New Roman" w:hAnsi="Times New Roman" w:cs="Times New Roman"/>
        </w:rPr>
      </w:pPr>
      <w:r w:rsidRPr="009131B9">
        <w:rPr>
          <w:rStyle w:val="FootnoteReference"/>
          <w:rFonts w:ascii="Times New Roman" w:hAnsi="Times New Roman" w:cs="Times New Roman"/>
        </w:rPr>
        <w:footnoteRef/>
      </w:r>
      <w:r w:rsidRPr="009131B9">
        <w:rPr>
          <w:rFonts w:ascii="Times New Roman" w:hAnsi="Times New Roman" w:cs="Times New Roman"/>
        </w:rPr>
        <w:t xml:space="preserve"> </w:t>
      </w:r>
      <w:r w:rsidRPr="009131B9">
        <w:rPr>
          <w:rFonts w:ascii="Times New Roman" w:hAnsi="Times New Roman" w:cs="Times New Roman"/>
          <w:i/>
        </w:rPr>
        <w:t xml:space="preserve">Wall v Fairfax New Zealand Limited </w:t>
      </w:r>
      <w:r w:rsidRPr="009131B9">
        <w:rPr>
          <w:rFonts w:ascii="Times New Roman" w:hAnsi="Times New Roman" w:cs="Times New Roman"/>
        </w:rPr>
        <w:t>[2017] NZHRRT 17 at [29.2].</w:t>
      </w:r>
    </w:p>
  </w:footnote>
  <w:footnote w:id="2">
    <w:p w14:paraId="5C113C75" w14:textId="77777777" w:rsidR="00DB2D1E" w:rsidRPr="002F6F5F" w:rsidRDefault="00DB2D1E" w:rsidP="00DB2D1E">
      <w:pPr>
        <w:pStyle w:val="FootnoteText"/>
      </w:pPr>
      <w:r w:rsidRPr="009131B9">
        <w:rPr>
          <w:rStyle w:val="FootnoteReference"/>
          <w:rFonts w:ascii="Times New Roman" w:hAnsi="Times New Roman" w:cs="Times New Roman"/>
        </w:rPr>
        <w:footnoteRef/>
      </w:r>
      <w:r w:rsidRPr="009131B9">
        <w:rPr>
          <w:rFonts w:ascii="Times New Roman" w:hAnsi="Times New Roman" w:cs="Times New Roman"/>
        </w:rPr>
        <w:t xml:space="preserve"> </w:t>
      </w:r>
      <w:r w:rsidRPr="009131B9">
        <w:rPr>
          <w:rFonts w:ascii="Times New Roman" w:hAnsi="Times New Roman" w:cs="Times New Roman"/>
          <w:i/>
        </w:rPr>
        <w:t xml:space="preserve">Wall v Fairfax New Zealand Limited </w:t>
      </w:r>
      <w:r w:rsidRPr="009131B9">
        <w:rPr>
          <w:rFonts w:ascii="Times New Roman" w:hAnsi="Times New Roman" w:cs="Times New Roman"/>
        </w:rPr>
        <w:t>[2018] NZHC 104 at [11].</w:t>
      </w:r>
    </w:p>
  </w:footnote>
  <w:footnote w:id="3">
    <w:p w14:paraId="1C4931CB" w14:textId="77777777" w:rsidR="00DB2D1E" w:rsidRPr="00003BFE" w:rsidRDefault="00DB2D1E" w:rsidP="00DB2D1E">
      <w:pPr>
        <w:pStyle w:val="FootnoteText"/>
      </w:pPr>
      <w:r w:rsidRPr="009131B9">
        <w:rPr>
          <w:rStyle w:val="FootnoteReference"/>
          <w:rFonts w:ascii="Times New Roman" w:hAnsi="Times New Roman" w:cs="Times New Roman"/>
        </w:rPr>
        <w:footnoteRef/>
      </w:r>
      <w:r w:rsidRPr="009131B9">
        <w:rPr>
          <w:rFonts w:ascii="Times New Roman" w:hAnsi="Times New Roman" w:cs="Times New Roman"/>
        </w:rPr>
        <w:t xml:space="preserve"> </w:t>
      </w:r>
      <w:r w:rsidRPr="009131B9">
        <w:rPr>
          <w:rFonts w:ascii="Times New Roman" w:hAnsi="Times New Roman" w:cs="Times New Roman"/>
          <w:i/>
        </w:rPr>
        <w:t>Moonen v Film and Literature Board of Review</w:t>
      </w:r>
      <w:r w:rsidRPr="009131B9">
        <w:rPr>
          <w:rFonts w:ascii="Times New Roman" w:hAnsi="Times New Roman" w:cs="Times New Roman"/>
        </w:rPr>
        <w:t xml:space="preserve"> [2000] 2 NZLR 9 (CA); </w:t>
      </w:r>
      <w:r w:rsidRPr="009131B9">
        <w:rPr>
          <w:rFonts w:ascii="Times New Roman" w:hAnsi="Times New Roman" w:cs="Times New Roman"/>
          <w:i/>
        </w:rPr>
        <w:t>R v Hansen</w:t>
      </w:r>
      <w:r w:rsidRPr="009131B9">
        <w:rPr>
          <w:rFonts w:ascii="Times New Roman" w:hAnsi="Times New Roman" w:cs="Times New Roman"/>
        </w:rPr>
        <w:t xml:space="preserve"> [2007] NZSC 7, [2007] 3 NZLR 1.</w:t>
      </w:r>
    </w:p>
  </w:footnote>
  <w:footnote w:id="4">
    <w:p w14:paraId="3F07F1B1" w14:textId="77777777" w:rsidR="00DB2D1E" w:rsidRPr="009131B9" w:rsidRDefault="00DB2D1E" w:rsidP="00DB2D1E">
      <w:pPr>
        <w:pStyle w:val="FootnoteText"/>
        <w:rPr>
          <w:rFonts w:ascii="Times New Roman" w:hAnsi="Times New Roman" w:cs="Times New Roman"/>
        </w:rPr>
      </w:pPr>
      <w:r w:rsidRPr="009131B9">
        <w:rPr>
          <w:rStyle w:val="FootnoteReference"/>
          <w:rFonts w:ascii="Times New Roman" w:hAnsi="Times New Roman" w:cs="Times New Roman"/>
        </w:rPr>
        <w:footnoteRef/>
      </w:r>
      <w:r w:rsidRPr="009131B9">
        <w:rPr>
          <w:rFonts w:ascii="Times New Roman" w:hAnsi="Times New Roman" w:cs="Times New Roman"/>
        </w:rPr>
        <w:t xml:space="preserve"> S</w:t>
      </w:r>
      <w:r>
        <w:rPr>
          <w:rFonts w:ascii="Times New Roman" w:hAnsi="Times New Roman" w:cs="Times New Roman"/>
        </w:rPr>
        <w:t>ection</w:t>
      </w:r>
      <w:r w:rsidRPr="009131B9">
        <w:rPr>
          <w:rFonts w:ascii="Times New Roman" w:hAnsi="Times New Roman" w:cs="Times New Roman"/>
        </w:rPr>
        <w:t xml:space="preserve"> 19 NZBORA protects the right to freedom from discrimination.</w:t>
      </w:r>
    </w:p>
  </w:footnote>
  <w:footnote w:id="5">
    <w:p w14:paraId="2ECFEEF1" w14:textId="77777777" w:rsidR="00DB2D1E" w:rsidRPr="009131B9" w:rsidRDefault="00DB2D1E" w:rsidP="00DB2D1E">
      <w:pPr>
        <w:pStyle w:val="FootnoteText"/>
        <w:rPr>
          <w:rFonts w:ascii="Times New Roman" w:hAnsi="Times New Roman" w:cs="Times New Roman"/>
        </w:rPr>
      </w:pPr>
      <w:r w:rsidRPr="009131B9">
        <w:rPr>
          <w:rStyle w:val="FootnoteReference"/>
          <w:rFonts w:ascii="Times New Roman" w:hAnsi="Times New Roman" w:cs="Times New Roman"/>
        </w:rPr>
        <w:footnoteRef/>
      </w:r>
      <w:r w:rsidRPr="009131B9">
        <w:rPr>
          <w:rFonts w:ascii="Times New Roman" w:hAnsi="Times New Roman" w:cs="Times New Roman"/>
        </w:rPr>
        <w:t xml:space="preserve"> Above n 2 at [35].</w:t>
      </w:r>
    </w:p>
  </w:footnote>
  <w:footnote w:id="6">
    <w:p w14:paraId="7973729B" w14:textId="77777777" w:rsidR="00461473" w:rsidRPr="00664543" w:rsidRDefault="00461473" w:rsidP="00461473">
      <w:pPr>
        <w:pStyle w:val="FootnoteText"/>
        <w:ind w:left="142" w:hanging="142"/>
        <w:rPr>
          <w:rFonts w:ascii="Times New Roman" w:hAnsi="Times New Roman" w:cs="Times New Roman"/>
        </w:rPr>
      </w:pPr>
      <w:r w:rsidRPr="00664543">
        <w:rPr>
          <w:rStyle w:val="FootnoteReference"/>
          <w:rFonts w:ascii="Times New Roman" w:hAnsi="Times New Roman" w:cs="Times New Roman"/>
        </w:rPr>
        <w:footnoteRef/>
      </w:r>
      <w:r w:rsidRPr="00664543">
        <w:rPr>
          <w:rFonts w:ascii="Times New Roman" w:hAnsi="Times New Roman" w:cs="Times New Roman"/>
        </w:rPr>
        <w:t xml:space="preserve"> </w:t>
      </w:r>
      <w:r w:rsidRPr="00664543">
        <w:rPr>
          <w:rFonts w:ascii="Times New Roman" w:hAnsi="Times New Roman" w:cs="Times New Roman"/>
          <w:i/>
        </w:rPr>
        <w:t>Atkinson v Ministry of Health</w:t>
      </w:r>
      <w:r w:rsidRPr="00664543">
        <w:rPr>
          <w:rFonts w:ascii="Times New Roman" w:hAnsi="Times New Roman" w:cs="Times New Roman"/>
        </w:rPr>
        <w:t xml:space="preserve"> [2012] NZCA 184</w:t>
      </w:r>
      <w:r>
        <w:rPr>
          <w:rFonts w:ascii="Times New Roman" w:hAnsi="Times New Roman" w:cs="Times New Roman"/>
        </w:rPr>
        <w:t xml:space="preserve"> </w:t>
      </w:r>
      <w:r w:rsidRPr="00664543">
        <w:rPr>
          <w:rFonts w:ascii="Times New Roman" w:hAnsi="Times New Roman" w:cs="Times New Roman"/>
        </w:rPr>
        <w:t>,[2012] 3 NZLR 456</w:t>
      </w:r>
      <w:r>
        <w:rPr>
          <w:rFonts w:ascii="Times New Roman" w:hAnsi="Times New Roman" w:cs="Times New Roman"/>
        </w:rPr>
        <w:t xml:space="preserve">; a further case, </w:t>
      </w:r>
      <w:r w:rsidRPr="00345735">
        <w:rPr>
          <w:rFonts w:ascii="Times New Roman" w:hAnsi="Times New Roman" w:cs="Times New Roman"/>
          <w:i/>
        </w:rPr>
        <w:t>Spencer v Attorney–General</w:t>
      </w:r>
      <w:r>
        <w:rPr>
          <w:rFonts w:ascii="Times New Roman" w:hAnsi="Times New Roman" w:cs="Times New Roman"/>
        </w:rPr>
        <w:t xml:space="preserve"> [2013] NZHC 2580 also addressed an aspect of the policy  </w:t>
      </w:r>
      <w:r w:rsidRPr="00664543">
        <w:rPr>
          <w:rFonts w:ascii="Times New Roman" w:hAnsi="Times New Roman" w:cs="Times New Roman"/>
        </w:rPr>
        <w:t xml:space="preserve"> </w:t>
      </w:r>
    </w:p>
  </w:footnote>
  <w:footnote w:id="7">
    <w:p w14:paraId="5D0090BA" w14:textId="77777777" w:rsidR="00461473" w:rsidRPr="00136218" w:rsidRDefault="00461473" w:rsidP="00461473">
      <w:pPr>
        <w:pStyle w:val="FootnoteText"/>
        <w:rPr>
          <w:rFonts w:ascii="Times New Roman" w:hAnsi="Times New Roman" w:cs="Times New Roman"/>
        </w:rPr>
      </w:pPr>
      <w:r w:rsidRPr="00136218">
        <w:rPr>
          <w:rStyle w:val="FootnoteReference"/>
          <w:rFonts w:ascii="Times New Roman" w:hAnsi="Times New Roman" w:cs="Times New Roman"/>
        </w:rPr>
        <w:footnoteRef/>
      </w:r>
      <w:r w:rsidRPr="00136218">
        <w:rPr>
          <w:rFonts w:ascii="Times New Roman" w:hAnsi="Times New Roman" w:cs="Times New Roman"/>
        </w:rPr>
        <w:t xml:space="preserve"> </w:t>
      </w:r>
      <w:r w:rsidRPr="00136218">
        <w:rPr>
          <w:rFonts w:ascii="Times New Roman" w:hAnsi="Times New Roman" w:cs="Times New Roman"/>
          <w:i/>
        </w:rPr>
        <w:t>Chamberlain v Ministry of Health</w:t>
      </w:r>
      <w:r w:rsidRPr="00136218">
        <w:rPr>
          <w:rFonts w:ascii="Times New Roman" w:hAnsi="Times New Roman" w:cs="Times New Roman"/>
        </w:rPr>
        <w:t xml:space="preserve"> [2017] NZHC 1821</w:t>
      </w:r>
      <w:r>
        <w:rPr>
          <w:rFonts w:ascii="Times New Roman" w:hAnsi="Times New Roman" w:cs="Times New Roman"/>
        </w:rPr>
        <w:t xml:space="preserve"> at [49] </w:t>
      </w:r>
    </w:p>
  </w:footnote>
  <w:footnote w:id="8">
    <w:p w14:paraId="79BD297A" w14:textId="77777777" w:rsidR="00461473" w:rsidRPr="00AD652F" w:rsidRDefault="00461473" w:rsidP="00461473">
      <w:pPr>
        <w:pStyle w:val="FootnoteText"/>
        <w:rPr>
          <w:rFonts w:ascii="Times New Roman" w:hAnsi="Times New Roman" w:cs="Times New Roman"/>
        </w:rPr>
      </w:pPr>
      <w:r w:rsidRPr="00AD652F">
        <w:rPr>
          <w:rStyle w:val="FootnoteReference"/>
          <w:rFonts w:ascii="Times New Roman" w:hAnsi="Times New Roman" w:cs="Times New Roman"/>
        </w:rPr>
        <w:footnoteRef/>
      </w:r>
      <w:r w:rsidRPr="00AD652F">
        <w:rPr>
          <w:rFonts w:ascii="Times New Roman" w:hAnsi="Times New Roman" w:cs="Times New Roman"/>
        </w:rPr>
        <w:t xml:space="preserve"> Ibid</w:t>
      </w:r>
      <w:r>
        <w:rPr>
          <w:rFonts w:ascii="Times New Roman" w:hAnsi="Times New Roman" w:cs="Times New Roman"/>
        </w:rPr>
        <w:t>.</w:t>
      </w:r>
      <w:r w:rsidRPr="00AD652F">
        <w:rPr>
          <w:rFonts w:ascii="Times New Roman" w:hAnsi="Times New Roman" w:cs="Times New Roman"/>
        </w:rPr>
        <w:t xml:space="preserve"> at [45]</w:t>
      </w:r>
    </w:p>
  </w:footnote>
  <w:footnote w:id="9">
    <w:p w14:paraId="68ED1B76" w14:textId="77777777" w:rsidR="00461473" w:rsidRDefault="00461473" w:rsidP="00461473">
      <w:pPr>
        <w:pStyle w:val="FootnoteText"/>
      </w:pPr>
      <w:r w:rsidRPr="00D965D1">
        <w:rPr>
          <w:rStyle w:val="FootnoteReference"/>
          <w:rFonts w:ascii="Times New Roman" w:hAnsi="Times New Roman" w:cs="Times New Roman"/>
        </w:rPr>
        <w:footnoteRef/>
      </w:r>
      <w:r w:rsidRPr="00D965D1">
        <w:rPr>
          <w:rFonts w:ascii="Times New Roman" w:hAnsi="Times New Roman" w:cs="Times New Roman"/>
        </w:rPr>
        <w:t xml:space="preserve"> CA at [70</w:t>
      </w:r>
      <w:r>
        <w:t>]</w:t>
      </w:r>
    </w:p>
  </w:footnote>
  <w:footnote w:id="10">
    <w:p w14:paraId="6B437EAB" w14:textId="77777777" w:rsidR="00461473" w:rsidRPr="000A55D5" w:rsidRDefault="00461473" w:rsidP="00461473">
      <w:pPr>
        <w:pStyle w:val="FootnoteText"/>
        <w:rPr>
          <w:rFonts w:ascii="Times New Roman" w:hAnsi="Times New Roman" w:cs="Times New Roman"/>
        </w:rPr>
      </w:pPr>
      <w:r w:rsidRPr="000A55D5">
        <w:rPr>
          <w:rStyle w:val="FootnoteReference"/>
          <w:rFonts w:ascii="Times New Roman" w:hAnsi="Times New Roman" w:cs="Times New Roman"/>
        </w:rPr>
        <w:footnoteRef/>
      </w:r>
      <w:r w:rsidRPr="000A55D5">
        <w:rPr>
          <w:rFonts w:ascii="Times New Roman" w:hAnsi="Times New Roman" w:cs="Times New Roman"/>
        </w:rPr>
        <w:t xml:space="preserve"> Ibid</w:t>
      </w:r>
      <w:r>
        <w:rPr>
          <w:rFonts w:ascii="Times New Roman" w:hAnsi="Times New Roman" w:cs="Times New Roman"/>
        </w:rPr>
        <w:t>.</w:t>
      </w:r>
      <w:r w:rsidRPr="000A55D5">
        <w:rPr>
          <w:rFonts w:ascii="Times New Roman" w:hAnsi="Times New Roman" w:cs="Times New Roman"/>
        </w:rPr>
        <w:t xml:space="preserve"> at [83] </w:t>
      </w:r>
    </w:p>
  </w:footnote>
  <w:footnote w:id="11">
    <w:p w14:paraId="175F492E" w14:textId="77777777" w:rsidR="00461473" w:rsidRPr="000A55D5" w:rsidRDefault="00461473" w:rsidP="00461473">
      <w:pPr>
        <w:pStyle w:val="FootnoteText"/>
        <w:rPr>
          <w:rFonts w:ascii="Times New Roman" w:hAnsi="Times New Roman" w:cs="Times New Roman"/>
        </w:rPr>
      </w:pPr>
      <w:r w:rsidRPr="000A55D5">
        <w:rPr>
          <w:rStyle w:val="FootnoteReference"/>
          <w:rFonts w:ascii="Times New Roman" w:hAnsi="Times New Roman" w:cs="Times New Roman"/>
        </w:rPr>
        <w:footnoteRef/>
      </w:r>
      <w:r w:rsidRPr="000A55D5">
        <w:rPr>
          <w:rFonts w:ascii="Times New Roman" w:hAnsi="Times New Roman" w:cs="Times New Roman"/>
        </w:rPr>
        <w:t xml:space="preserve"> Ibid. at [88] </w:t>
      </w:r>
    </w:p>
  </w:footnote>
  <w:footnote w:id="12">
    <w:p w14:paraId="79639A1E" w14:textId="77777777" w:rsidR="003D2840" w:rsidRPr="00441D08" w:rsidRDefault="003D2840" w:rsidP="003D2840">
      <w:pPr>
        <w:pStyle w:val="FootnoteText"/>
        <w:rPr>
          <w:rFonts w:ascii="Times New Roman" w:hAnsi="Times New Roman" w:cs="Times New Roman"/>
        </w:rPr>
      </w:pPr>
      <w:r w:rsidRPr="00441D08">
        <w:rPr>
          <w:rStyle w:val="FootnoteReference"/>
          <w:rFonts w:ascii="Times New Roman" w:hAnsi="Times New Roman" w:cs="Times New Roman"/>
        </w:rPr>
        <w:footnoteRef/>
      </w:r>
      <w:r w:rsidRPr="00441D08">
        <w:rPr>
          <w:rFonts w:ascii="Times New Roman" w:hAnsi="Times New Roman" w:cs="Times New Roman"/>
        </w:rPr>
        <w:t xml:space="preserve"> [2003] 3 NZLR 752 (CA)</w:t>
      </w:r>
      <w:r>
        <w:rPr>
          <w:rFonts w:ascii="Times New Roman" w:hAnsi="Times New Roman" w:cs="Times New Roman"/>
        </w:rPr>
        <w:t>. Although his release date was 2</w:t>
      </w:r>
      <w:r w:rsidRPr="00DB541E">
        <w:rPr>
          <w:rFonts w:ascii="Times New Roman" w:hAnsi="Times New Roman" w:cs="Times New Roman"/>
          <w:vertAlign w:val="superscript"/>
        </w:rPr>
        <w:t>nd</w:t>
      </w:r>
      <w:r>
        <w:rPr>
          <w:rFonts w:ascii="Times New Roman" w:hAnsi="Times New Roman" w:cs="Times New Roman"/>
        </w:rPr>
        <w:t xml:space="preserve"> October, pursuant</w:t>
      </w:r>
      <w:r w:rsidRPr="00441D08">
        <w:rPr>
          <w:rFonts w:ascii="Times New Roman" w:hAnsi="Times New Roman" w:cs="Times New Roman"/>
        </w:rPr>
        <w:t xml:space="preserve"> </w:t>
      </w:r>
      <w:r>
        <w:rPr>
          <w:rFonts w:ascii="Times New Roman" w:hAnsi="Times New Roman" w:cs="Times New Roman"/>
        </w:rPr>
        <w:t>to s.52(2) of the Parole Act 28 September was the earliest release day preceding his statutory release date.</w:t>
      </w:r>
    </w:p>
  </w:footnote>
  <w:footnote w:id="13">
    <w:p w14:paraId="7D1C773E" w14:textId="77777777" w:rsidR="003D2840" w:rsidRPr="00441D08" w:rsidRDefault="003D2840" w:rsidP="003D2840">
      <w:pPr>
        <w:pStyle w:val="FootnoteText"/>
        <w:rPr>
          <w:rFonts w:ascii="Times New Roman" w:hAnsi="Times New Roman" w:cs="Times New Roman"/>
        </w:rPr>
      </w:pPr>
      <w:r w:rsidRPr="00441D08">
        <w:rPr>
          <w:rStyle w:val="FootnoteReference"/>
          <w:rFonts w:ascii="Times New Roman" w:hAnsi="Times New Roman" w:cs="Times New Roman"/>
        </w:rPr>
        <w:footnoteRef/>
      </w:r>
      <w:r w:rsidRPr="00441D08">
        <w:rPr>
          <w:rFonts w:ascii="Times New Roman" w:hAnsi="Times New Roman" w:cs="Times New Roman"/>
        </w:rPr>
        <w:t xml:space="preserve"> </w:t>
      </w:r>
      <w:r w:rsidRPr="00441D08">
        <w:rPr>
          <w:rFonts w:ascii="Times New Roman" w:hAnsi="Times New Roman" w:cs="Times New Roman"/>
          <w:i/>
        </w:rPr>
        <w:t>Booth v R</w:t>
      </w:r>
      <w:r w:rsidRPr="00441D08">
        <w:rPr>
          <w:rFonts w:ascii="Times New Roman" w:hAnsi="Times New Roman" w:cs="Times New Roman"/>
        </w:rPr>
        <w:t xml:space="preserve"> [2016] NZSC 127;[2017] 1 NZLR 223 </w:t>
      </w:r>
    </w:p>
  </w:footnote>
  <w:footnote w:id="14">
    <w:p w14:paraId="48177996" w14:textId="77777777" w:rsidR="003D2840" w:rsidRPr="008C73AE" w:rsidRDefault="003D2840" w:rsidP="003D2840">
      <w:pPr>
        <w:pStyle w:val="FootnoteText"/>
        <w:rPr>
          <w:rFonts w:ascii="Times New Roman" w:hAnsi="Times New Roman" w:cs="Times New Roman"/>
        </w:rPr>
      </w:pPr>
      <w:r w:rsidRPr="008C73AE">
        <w:rPr>
          <w:rStyle w:val="FootnoteReference"/>
          <w:rFonts w:ascii="Times New Roman" w:hAnsi="Times New Roman" w:cs="Times New Roman"/>
        </w:rPr>
        <w:footnoteRef/>
      </w:r>
      <w:r w:rsidRPr="008C73AE">
        <w:rPr>
          <w:rFonts w:ascii="Times New Roman" w:hAnsi="Times New Roman" w:cs="Times New Roman"/>
        </w:rPr>
        <w:t xml:space="preserve"> </w:t>
      </w:r>
      <w:r w:rsidRPr="008C73AE">
        <w:rPr>
          <w:rFonts w:ascii="Times New Roman" w:hAnsi="Times New Roman" w:cs="Times New Roman"/>
          <w:i/>
        </w:rPr>
        <w:t>Gardiner v Chief Executive of the Department of Corrections</w:t>
      </w:r>
      <w:r w:rsidRPr="008C73AE">
        <w:rPr>
          <w:rFonts w:ascii="Times New Roman" w:hAnsi="Times New Roman" w:cs="Times New Roman"/>
        </w:rPr>
        <w:t xml:space="preserve"> [2017] NZHC 1831; [2017] NZAR 1348 </w:t>
      </w:r>
    </w:p>
  </w:footnote>
  <w:footnote w:id="15">
    <w:p w14:paraId="68BAEADA" w14:textId="77777777" w:rsidR="008E6A76" w:rsidRPr="00283EA6" w:rsidRDefault="008E6A76" w:rsidP="008E6A76">
      <w:pPr>
        <w:rPr>
          <w:rFonts w:ascii="Times New Roman" w:hAnsi="Times New Roman"/>
          <w:sz w:val="20"/>
        </w:rPr>
      </w:pPr>
      <w:r w:rsidRPr="00283EA6">
        <w:rPr>
          <w:rStyle w:val="FootnoteReference"/>
          <w:rFonts w:ascii="Times New Roman" w:hAnsi="Times New Roman"/>
          <w:sz w:val="20"/>
        </w:rPr>
        <w:footnoteRef/>
      </w:r>
      <w:r>
        <w:rPr>
          <w:rFonts w:ascii="Times New Roman" w:eastAsia="Times New Roman" w:hAnsi="Times New Roman"/>
          <w:i/>
          <w:sz w:val="20"/>
          <w:lang w:eastAsia="en-NZ"/>
        </w:rPr>
        <w:t xml:space="preserve"> </w:t>
      </w:r>
      <w:r w:rsidRPr="00283EA6">
        <w:rPr>
          <w:rFonts w:ascii="Times New Roman" w:eastAsia="Times New Roman" w:hAnsi="Times New Roman"/>
          <w:i/>
          <w:sz w:val="20"/>
          <w:lang w:eastAsia="en-NZ"/>
        </w:rPr>
        <w:t>Attorney-General (Quebec) v Irwin Toy Ltd</w:t>
      </w:r>
      <w:r w:rsidRPr="00283EA6">
        <w:rPr>
          <w:rFonts w:ascii="Times New Roman" w:eastAsia="Times New Roman" w:hAnsi="Times New Roman"/>
          <w:sz w:val="20"/>
          <w:lang w:eastAsia="en-NZ"/>
        </w:rPr>
        <w:t xml:space="preserve"> [1989] 1 SCR 927 at 96</w:t>
      </w:r>
    </w:p>
  </w:footnote>
  <w:footnote w:id="16">
    <w:p w14:paraId="65D09FF2" w14:textId="77777777" w:rsidR="008E6A76" w:rsidRDefault="008E6A76" w:rsidP="008E6A76">
      <w:r w:rsidRPr="00283EA6">
        <w:rPr>
          <w:rStyle w:val="FootnoteReference"/>
          <w:rFonts w:ascii="Times New Roman" w:hAnsi="Times New Roman"/>
          <w:sz w:val="20"/>
        </w:rPr>
        <w:footnoteRef/>
      </w:r>
      <w:r w:rsidRPr="00283EA6">
        <w:rPr>
          <w:rFonts w:ascii="Times New Roman" w:hAnsi="Times New Roman"/>
          <w:sz w:val="20"/>
        </w:rPr>
        <w:t xml:space="preserve"> </w:t>
      </w:r>
      <w:r w:rsidRPr="00283EA6">
        <w:rPr>
          <w:rFonts w:ascii="Times New Roman" w:eastAsia="Times New Roman" w:hAnsi="Times New Roman"/>
          <w:i/>
          <w:sz w:val="20"/>
          <w:lang w:eastAsia="en-NZ"/>
        </w:rPr>
        <w:t>Karr v Schmidt</w:t>
      </w:r>
      <w:r w:rsidRPr="00283EA6">
        <w:rPr>
          <w:rFonts w:ascii="Times New Roman" w:eastAsia="Times New Roman" w:hAnsi="Times New Roman"/>
          <w:sz w:val="20"/>
          <w:lang w:eastAsia="en-NZ"/>
        </w:rPr>
        <w:t xml:space="preserve"> 460 F 2d 609 (5</w:t>
      </w:r>
      <w:r w:rsidRPr="00283EA6">
        <w:rPr>
          <w:rFonts w:ascii="Times New Roman" w:eastAsia="Times New Roman" w:hAnsi="Times New Roman"/>
          <w:sz w:val="20"/>
          <w:vertAlign w:val="superscript"/>
          <w:lang w:eastAsia="en-NZ"/>
        </w:rPr>
        <w:t>th</w:t>
      </w:r>
      <w:r w:rsidRPr="00283EA6">
        <w:rPr>
          <w:rFonts w:ascii="Times New Roman" w:eastAsia="Times New Roman" w:hAnsi="Times New Roman"/>
          <w:sz w:val="20"/>
          <w:lang w:eastAsia="en-NZ"/>
        </w:rPr>
        <w:t xml:space="preserve"> Cir 1972) at 613. </w:t>
      </w:r>
    </w:p>
  </w:footnote>
  <w:footnote w:id="17">
    <w:p w14:paraId="0F94FAE8" w14:textId="77777777" w:rsidR="008E6A76" w:rsidRPr="001759F8" w:rsidRDefault="008E6A76" w:rsidP="008E6A76">
      <w:pPr>
        <w:pStyle w:val="FootnoteText"/>
        <w:rPr>
          <w:rFonts w:ascii="Times New Roman" w:hAnsi="Times New Roman" w:cs="Times New Roman"/>
        </w:rPr>
      </w:pPr>
      <w:r w:rsidRPr="001759F8">
        <w:rPr>
          <w:rStyle w:val="FootnoteReference"/>
          <w:rFonts w:ascii="Times New Roman" w:hAnsi="Times New Roman" w:cs="Times New Roman"/>
        </w:rPr>
        <w:footnoteRef/>
      </w:r>
      <w:r>
        <w:rPr>
          <w:rFonts w:ascii="Times New Roman" w:hAnsi="Times New Roman" w:cs="Times New Roman"/>
        </w:rPr>
        <w:t xml:space="preserve"> </w:t>
      </w:r>
      <w:r w:rsidRPr="001759F8">
        <w:rPr>
          <w:rFonts w:ascii="Times New Roman" w:hAnsi="Times New Roman" w:cs="Times New Roman"/>
        </w:rPr>
        <w:t>[2007] NZSC 30, [2007] 3 NZLR 91 at [58].</w:t>
      </w:r>
    </w:p>
  </w:footnote>
  <w:footnote w:id="18">
    <w:p w14:paraId="616A50A6" w14:textId="77777777" w:rsidR="008E6A76" w:rsidRPr="001759F8" w:rsidRDefault="008E6A76" w:rsidP="008E6A76">
      <w:pPr>
        <w:pStyle w:val="FootnoteText"/>
        <w:rPr>
          <w:rFonts w:ascii="Times New Roman" w:hAnsi="Times New Roman" w:cs="Times New Roman"/>
        </w:rPr>
      </w:pPr>
      <w:r w:rsidRPr="001759F8">
        <w:rPr>
          <w:rStyle w:val="FootnoteReference"/>
          <w:rFonts w:ascii="Times New Roman" w:hAnsi="Times New Roman" w:cs="Times New Roman"/>
        </w:rPr>
        <w:footnoteRef/>
      </w:r>
      <w:r>
        <w:rPr>
          <w:rFonts w:ascii="Times New Roman" w:hAnsi="Times New Roman" w:cs="Times New Roman"/>
        </w:rPr>
        <w:t xml:space="preserve"> </w:t>
      </w:r>
      <w:r w:rsidRPr="001759F8">
        <w:rPr>
          <w:rFonts w:ascii="Times New Roman" w:hAnsi="Times New Roman" w:cs="Times New Roman"/>
        </w:rPr>
        <w:t xml:space="preserve">[2012] NZHC 2234, [2013] 1 NZLR 848 at [75] </w:t>
      </w:r>
    </w:p>
  </w:footnote>
  <w:footnote w:id="19">
    <w:p w14:paraId="6881FDE0" w14:textId="77777777" w:rsidR="00C41D09" w:rsidRPr="001759F8" w:rsidRDefault="00C41D09" w:rsidP="00C41D09">
      <w:pPr>
        <w:pStyle w:val="FootnoteText"/>
        <w:rPr>
          <w:rFonts w:ascii="Times New Roman" w:hAnsi="Times New Roman" w:cs="Times New Roman"/>
        </w:rPr>
      </w:pPr>
      <w:r w:rsidRPr="001759F8">
        <w:rPr>
          <w:rStyle w:val="FootnoteReference"/>
          <w:rFonts w:ascii="Times New Roman" w:hAnsi="Times New Roman" w:cs="Times New Roman"/>
        </w:rPr>
        <w:footnoteRef/>
      </w:r>
      <w:r w:rsidRPr="001759F8">
        <w:rPr>
          <w:rFonts w:ascii="Times New Roman" w:hAnsi="Times New Roman" w:cs="Times New Roman"/>
        </w:rPr>
        <w:t xml:space="preserve"> [2017] NZCA 526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9EEA" w14:textId="77777777" w:rsidR="00666E31" w:rsidRDefault="00666E31" w:rsidP="00666E31">
    <w:pPr>
      <w:pStyle w:val="Header"/>
      <w:tabs>
        <w:tab w:val="clear" w:pos="4513"/>
        <w:tab w:val="clear" w:pos="9026"/>
        <w:tab w:val="left" w:pos="7240"/>
      </w:tabs>
    </w:pPr>
    <w:r>
      <w:rPr>
        <w:noProof/>
        <w:lang w:eastAsia="en-NZ"/>
      </w:rPr>
      <w:drawing>
        <wp:anchor distT="0" distB="0" distL="114300" distR="114300" simplePos="0" relativeHeight="251669504" behindDoc="0" locked="0" layoutInCell="1" allowOverlap="1" wp14:anchorId="7C772BEE" wp14:editId="02DD4193">
          <wp:simplePos x="0" y="0"/>
          <wp:positionH relativeFrom="column">
            <wp:posOffset>4007485</wp:posOffset>
          </wp:positionH>
          <wp:positionV relativeFrom="paragraph">
            <wp:posOffset>-174625</wp:posOffset>
          </wp:positionV>
          <wp:extent cx="2108200" cy="520700"/>
          <wp:effectExtent l="0" t="0" r="6350" b="0"/>
          <wp:wrapThrough wrapText="bothSides">
            <wp:wrapPolygon edited="0">
              <wp:start x="0" y="0"/>
              <wp:lineTo x="0" y="20546"/>
              <wp:lineTo x="21470" y="20546"/>
              <wp:lineTo x="21470" y="0"/>
              <wp:lineTo x="0" y="0"/>
            </wp:wrapPolygon>
          </wp:wrapThrough>
          <wp:docPr id="1" name="Picture 1" descr="lawheade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wheade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20700"/>
                  </a:xfrm>
                  <a:prstGeom prst="rect">
                    <a:avLst/>
                  </a:prstGeom>
                  <a:noFill/>
                </pic:spPr>
              </pic:pic>
            </a:graphicData>
          </a:graphic>
        </wp:anchor>
      </w:drawing>
    </w:r>
    <w:r>
      <w:rPr>
        <w:noProof/>
        <w:lang w:eastAsia="en-NZ"/>
      </w:rPr>
      <w:drawing>
        <wp:anchor distT="0" distB="0" distL="114300" distR="114300" simplePos="0" relativeHeight="251656192" behindDoc="1" locked="0" layoutInCell="1" allowOverlap="1" wp14:anchorId="7D295E78" wp14:editId="371A1908">
          <wp:simplePos x="0" y="0"/>
          <wp:positionH relativeFrom="column">
            <wp:posOffset>-920115</wp:posOffset>
          </wp:positionH>
          <wp:positionV relativeFrom="paragraph">
            <wp:posOffset>-407035</wp:posOffset>
          </wp:positionV>
          <wp:extent cx="4412615" cy="9569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2615" cy="956945"/>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AA8D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05970"/>
    <w:multiLevelType w:val="hybridMultilevel"/>
    <w:tmpl w:val="57B8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27064"/>
    <w:multiLevelType w:val="hybridMultilevel"/>
    <w:tmpl w:val="1978935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 w15:restartNumberingAfterBreak="0">
    <w:nsid w:val="195D4C11"/>
    <w:multiLevelType w:val="hybridMultilevel"/>
    <w:tmpl w:val="0B60C018"/>
    <w:lvl w:ilvl="0" w:tplc="0C3CC41C">
      <w:start w:val="1"/>
      <w:numFmt w:val="bullet"/>
      <w:lvlText w:val=""/>
      <w:lvlJc w:val="left"/>
      <w:pPr>
        <w:ind w:left="776" w:hanging="360"/>
      </w:pPr>
      <w:rPr>
        <w:rFonts w:ascii="Symbol" w:hAnsi="Symbol" w:hint="default"/>
        <w:color w:val="auto"/>
      </w:rPr>
    </w:lvl>
    <w:lvl w:ilvl="1" w:tplc="14090003">
      <w:start w:val="1"/>
      <w:numFmt w:val="bullet"/>
      <w:lvlText w:val="o"/>
      <w:lvlJc w:val="left"/>
      <w:pPr>
        <w:ind w:left="1496" w:hanging="360"/>
      </w:pPr>
      <w:rPr>
        <w:rFonts w:ascii="Courier New" w:hAnsi="Courier New" w:cs="Courier New" w:hint="default"/>
      </w:rPr>
    </w:lvl>
    <w:lvl w:ilvl="2" w:tplc="14090005">
      <w:start w:val="1"/>
      <w:numFmt w:val="bullet"/>
      <w:lvlText w:val=""/>
      <w:lvlJc w:val="left"/>
      <w:pPr>
        <w:ind w:left="2216" w:hanging="360"/>
      </w:pPr>
      <w:rPr>
        <w:rFonts w:ascii="Wingdings" w:hAnsi="Wingdings" w:hint="default"/>
      </w:rPr>
    </w:lvl>
    <w:lvl w:ilvl="3" w:tplc="14090001">
      <w:start w:val="1"/>
      <w:numFmt w:val="bullet"/>
      <w:lvlText w:val=""/>
      <w:lvlJc w:val="left"/>
      <w:pPr>
        <w:ind w:left="2936" w:hanging="360"/>
      </w:pPr>
      <w:rPr>
        <w:rFonts w:ascii="Symbol" w:hAnsi="Symbol" w:hint="default"/>
      </w:rPr>
    </w:lvl>
    <w:lvl w:ilvl="4" w:tplc="14090003">
      <w:start w:val="1"/>
      <w:numFmt w:val="bullet"/>
      <w:lvlText w:val="o"/>
      <w:lvlJc w:val="left"/>
      <w:pPr>
        <w:ind w:left="3656" w:hanging="360"/>
      </w:pPr>
      <w:rPr>
        <w:rFonts w:ascii="Courier New" w:hAnsi="Courier New" w:cs="Courier New" w:hint="default"/>
      </w:rPr>
    </w:lvl>
    <w:lvl w:ilvl="5" w:tplc="14090005">
      <w:start w:val="1"/>
      <w:numFmt w:val="bullet"/>
      <w:lvlText w:val=""/>
      <w:lvlJc w:val="left"/>
      <w:pPr>
        <w:ind w:left="4376" w:hanging="360"/>
      </w:pPr>
      <w:rPr>
        <w:rFonts w:ascii="Wingdings" w:hAnsi="Wingdings" w:hint="default"/>
      </w:rPr>
    </w:lvl>
    <w:lvl w:ilvl="6" w:tplc="14090001">
      <w:start w:val="1"/>
      <w:numFmt w:val="bullet"/>
      <w:lvlText w:val=""/>
      <w:lvlJc w:val="left"/>
      <w:pPr>
        <w:ind w:left="5096" w:hanging="360"/>
      </w:pPr>
      <w:rPr>
        <w:rFonts w:ascii="Symbol" w:hAnsi="Symbol" w:hint="default"/>
      </w:rPr>
    </w:lvl>
    <w:lvl w:ilvl="7" w:tplc="14090003">
      <w:start w:val="1"/>
      <w:numFmt w:val="bullet"/>
      <w:lvlText w:val="o"/>
      <w:lvlJc w:val="left"/>
      <w:pPr>
        <w:ind w:left="5816" w:hanging="360"/>
      </w:pPr>
      <w:rPr>
        <w:rFonts w:ascii="Courier New" w:hAnsi="Courier New" w:cs="Courier New" w:hint="default"/>
      </w:rPr>
    </w:lvl>
    <w:lvl w:ilvl="8" w:tplc="14090005">
      <w:start w:val="1"/>
      <w:numFmt w:val="bullet"/>
      <w:lvlText w:val=""/>
      <w:lvlJc w:val="left"/>
      <w:pPr>
        <w:ind w:left="6536" w:hanging="360"/>
      </w:pPr>
      <w:rPr>
        <w:rFonts w:ascii="Wingdings" w:hAnsi="Wingdings" w:hint="default"/>
      </w:rPr>
    </w:lvl>
  </w:abstractNum>
  <w:abstractNum w:abstractNumId="4" w15:restartNumberingAfterBreak="0">
    <w:nsid w:val="1E462684"/>
    <w:multiLevelType w:val="hybridMultilevel"/>
    <w:tmpl w:val="F27E8E0A"/>
    <w:lvl w:ilvl="0" w:tplc="3CBA040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9539C"/>
    <w:multiLevelType w:val="hybridMultilevel"/>
    <w:tmpl w:val="B41E671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E81CC7"/>
    <w:multiLevelType w:val="hybridMultilevel"/>
    <w:tmpl w:val="E762510A"/>
    <w:lvl w:ilvl="0" w:tplc="A198B4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D1532"/>
    <w:multiLevelType w:val="hybridMultilevel"/>
    <w:tmpl w:val="97948992"/>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8" w15:restartNumberingAfterBreak="0">
    <w:nsid w:val="3BCA6FF1"/>
    <w:multiLevelType w:val="hybridMultilevel"/>
    <w:tmpl w:val="21F055AC"/>
    <w:lvl w:ilvl="0" w:tplc="74B82510">
      <w:start w:val="1"/>
      <w:numFmt w:val="bullet"/>
      <w:lvlText w:val="-"/>
      <w:lvlJc w:val="left"/>
      <w:pPr>
        <w:ind w:left="720" w:hanging="360"/>
      </w:pPr>
      <w:rPr>
        <w:rFonts w:ascii="Times" w:eastAsia="Times" w:hAnsi="Times" w:cs="Time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8965A04"/>
    <w:multiLevelType w:val="hybridMultilevel"/>
    <w:tmpl w:val="0E703A14"/>
    <w:lvl w:ilvl="0" w:tplc="1409000B">
      <w:start w:val="1"/>
      <w:numFmt w:val="bullet"/>
      <w:lvlText w:val=""/>
      <w:lvlJc w:val="left"/>
      <w:pPr>
        <w:ind w:left="1440" w:hanging="360"/>
      </w:pPr>
      <w:rPr>
        <w:rFonts w:ascii="Wingdings" w:hAnsi="Wingdings"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10" w15:restartNumberingAfterBreak="0">
    <w:nsid w:val="53343DAA"/>
    <w:multiLevelType w:val="hybridMultilevel"/>
    <w:tmpl w:val="CDA82CE4"/>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11" w15:restartNumberingAfterBreak="0">
    <w:nsid w:val="54C96C78"/>
    <w:multiLevelType w:val="hybridMultilevel"/>
    <w:tmpl w:val="A7C0DC8C"/>
    <w:lvl w:ilvl="0" w:tplc="A4143632">
      <w:start w:val="1"/>
      <w:numFmt w:val="lowerRoman"/>
      <w:lvlText w:val="%1."/>
      <w:lvlJc w:val="left"/>
      <w:pPr>
        <w:ind w:left="1080" w:hanging="72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2" w15:restartNumberingAfterBreak="0">
    <w:nsid w:val="54EA58FC"/>
    <w:multiLevelType w:val="multilevel"/>
    <w:tmpl w:val="128E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93ED5"/>
    <w:multiLevelType w:val="hybridMultilevel"/>
    <w:tmpl w:val="85382FBA"/>
    <w:lvl w:ilvl="0" w:tplc="64323786">
      <w:start w:val="1"/>
      <w:numFmt w:val="lowerLetter"/>
      <w:lvlText w:val="(%1)"/>
      <w:lvlJc w:val="left"/>
      <w:pPr>
        <w:ind w:left="928" w:hanging="360"/>
      </w:p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14" w15:restartNumberingAfterBreak="0">
    <w:nsid w:val="5C225C92"/>
    <w:multiLevelType w:val="hybridMultilevel"/>
    <w:tmpl w:val="4C907FA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03C2B5E"/>
    <w:multiLevelType w:val="hybridMultilevel"/>
    <w:tmpl w:val="9716B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5"/>
  </w:num>
  <w:num w:numId="8">
    <w:abstractNumId w:val="14"/>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2"/>
  </w:num>
  <w:num w:numId="14">
    <w:abstractNumId w:val="1"/>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31"/>
    <w:rsid w:val="000003B9"/>
    <w:rsid w:val="00000551"/>
    <w:rsid w:val="00001D5E"/>
    <w:rsid w:val="00010BBD"/>
    <w:rsid w:val="000113EA"/>
    <w:rsid w:val="00022BBF"/>
    <w:rsid w:val="00031D37"/>
    <w:rsid w:val="000342A2"/>
    <w:rsid w:val="000342F1"/>
    <w:rsid w:val="000346C8"/>
    <w:rsid w:val="00036A8F"/>
    <w:rsid w:val="00037E61"/>
    <w:rsid w:val="00042BEF"/>
    <w:rsid w:val="000447D2"/>
    <w:rsid w:val="0004489C"/>
    <w:rsid w:val="0004576A"/>
    <w:rsid w:val="00047146"/>
    <w:rsid w:val="000531A9"/>
    <w:rsid w:val="000532D3"/>
    <w:rsid w:val="0006205F"/>
    <w:rsid w:val="00070016"/>
    <w:rsid w:val="00076A5A"/>
    <w:rsid w:val="00081226"/>
    <w:rsid w:val="000835E9"/>
    <w:rsid w:val="00084262"/>
    <w:rsid w:val="00087037"/>
    <w:rsid w:val="000931BD"/>
    <w:rsid w:val="00093486"/>
    <w:rsid w:val="000943AA"/>
    <w:rsid w:val="000A0808"/>
    <w:rsid w:val="000A200C"/>
    <w:rsid w:val="000C04F4"/>
    <w:rsid w:val="000C115F"/>
    <w:rsid w:val="000C40B6"/>
    <w:rsid w:val="000D3175"/>
    <w:rsid w:val="000D43E3"/>
    <w:rsid w:val="000D4781"/>
    <w:rsid w:val="000D7F62"/>
    <w:rsid w:val="000E6554"/>
    <w:rsid w:val="000F055F"/>
    <w:rsid w:val="000F0FF6"/>
    <w:rsid w:val="000F138F"/>
    <w:rsid w:val="0010159F"/>
    <w:rsid w:val="0010431C"/>
    <w:rsid w:val="001072BE"/>
    <w:rsid w:val="00110B5D"/>
    <w:rsid w:val="00116394"/>
    <w:rsid w:val="001223A6"/>
    <w:rsid w:val="00126DC3"/>
    <w:rsid w:val="00140A73"/>
    <w:rsid w:val="00142632"/>
    <w:rsid w:val="00143529"/>
    <w:rsid w:val="00144ADF"/>
    <w:rsid w:val="00151DB8"/>
    <w:rsid w:val="00152D80"/>
    <w:rsid w:val="00156B1D"/>
    <w:rsid w:val="00161146"/>
    <w:rsid w:val="0016222A"/>
    <w:rsid w:val="00166A55"/>
    <w:rsid w:val="001755B9"/>
    <w:rsid w:val="001836C0"/>
    <w:rsid w:val="0019028C"/>
    <w:rsid w:val="001A088A"/>
    <w:rsid w:val="001A0D00"/>
    <w:rsid w:val="001A255E"/>
    <w:rsid w:val="001A57C7"/>
    <w:rsid w:val="001A6205"/>
    <w:rsid w:val="001B2162"/>
    <w:rsid w:val="001B26FE"/>
    <w:rsid w:val="001B2A3F"/>
    <w:rsid w:val="001B7A52"/>
    <w:rsid w:val="001C2181"/>
    <w:rsid w:val="001C3054"/>
    <w:rsid w:val="001C4056"/>
    <w:rsid w:val="001C6F4F"/>
    <w:rsid w:val="001D15D3"/>
    <w:rsid w:val="001E31D0"/>
    <w:rsid w:val="001E392C"/>
    <w:rsid w:val="001E515C"/>
    <w:rsid w:val="001E6B09"/>
    <w:rsid w:val="001E7681"/>
    <w:rsid w:val="002006DE"/>
    <w:rsid w:val="002151F6"/>
    <w:rsid w:val="0021531D"/>
    <w:rsid w:val="00216C83"/>
    <w:rsid w:val="002315E1"/>
    <w:rsid w:val="00236195"/>
    <w:rsid w:val="00237C46"/>
    <w:rsid w:val="00240BF6"/>
    <w:rsid w:val="00242194"/>
    <w:rsid w:val="00242873"/>
    <w:rsid w:val="00246684"/>
    <w:rsid w:val="00251D0D"/>
    <w:rsid w:val="002528BD"/>
    <w:rsid w:val="002548E7"/>
    <w:rsid w:val="0025559E"/>
    <w:rsid w:val="002717B6"/>
    <w:rsid w:val="002746DD"/>
    <w:rsid w:val="002820C4"/>
    <w:rsid w:val="002867D1"/>
    <w:rsid w:val="00297D87"/>
    <w:rsid w:val="002A0DC2"/>
    <w:rsid w:val="002A13A7"/>
    <w:rsid w:val="002A2B72"/>
    <w:rsid w:val="002A34FE"/>
    <w:rsid w:val="002B12A0"/>
    <w:rsid w:val="002B1ECB"/>
    <w:rsid w:val="002B336C"/>
    <w:rsid w:val="002B3C7C"/>
    <w:rsid w:val="002B56F2"/>
    <w:rsid w:val="002B5BD9"/>
    <w:rsid w:val="002B65C6"/>
    <w:rsid w:val="002C02E5"/>
    <w:rsid w:val="002C0BF8"/>
    <w:rsid w:val="002C1EB5"/>
    <w:rsid w:val="002C3B5B"/>
    <w:rsid w:val="002C4CD8"/>
    <w:rsid w:val="002C68B9"/>
    <w:rsid w:val="002D2308"/>
    <w:rsid w:val="002D302B"/>
    <w:rsid w:val="002D36D6"/>
    <w:rsid w:val="002D37E3"/>
    <w:rsid w:val="002D40CF"/>
    <w:rsid w:val="002E1396"/>
    <w:rsid w:val="002E5ADA"/>
    <w:rsid w:val="002E5D87"/>
    <w:rsid w:val="002E7B2D"/>
    <w:rsid w:val="002F3C7F"/>
    <w:rsid w:val="00300744"/>
    <w:rsid w:val="00302132"/>
    <w:rsid w:val="003125CB"/>
    <w:rsid w:val="003146F2"/>
    <w:rsid w:val="00320D84"/>
    <w:rsid w:val="00322248"/>
    <w:rsid w:val="00322881"/>
    <w:rsid w:val="00332705"/>
    <w:rsid w:val="00333895"/>
    <w:rsid w:val="0033481B"/>
    <w:rsid w:val="00334F50"/>
    <w:rsid w:val="00336315"/>
    <w:rsid w:val="00341EAA"/>
    <w:rsid w:val="003502CE"/>
    <w:rsid w:val="003522C1"/>
    <w:rsid w:val="0035262D"/>
    <w:rsid w:val="0035506B"/>
    <w:rsid w:val="00361A93"/>
    <w:rsid w:val="00363A5D"/>
    <w:rsid w:val="00367F8A"/>
    <w:rsid w:val="00375832"/>
    <w:rsid w:val="00375C78"/>
    <w:rsid w:val="00381184"/>
    <w:rsid w:val="00386AC6"/>
    <w:rsid w:val="00391C3F"/>
    <w:rsid w:val="003932CC"/>
    <w:rsid w:val="00395C4C"/>
    <w:rsid w:val="00396F85"/>
    <w:rsid w:val="003971C4"/>
    <w:rsid w:val="003A509F"/>
    <w:rsid w:val="003A7C5C"/>
    <w:rsid w:val="003B066F"/>
    <w:rsid w:val="003B4273"/>
    <w:rsid w:val="003B6DB3"/>
    <w:rsid w:val="003C386A"/>
    <w:rsid w:val="003C5362"/>
    <w:rsid w:val="003C5D2F"/>
    <w:rsid w:val="003D2840"/>
    <w:rsid w:val="003D2C7E"/>
    <w:rsid w:val="003D3708"/>
    <w:rsid w:val="003D4699"/>
    <w:rsid w:val="003D6F68"/>
    <w:rsid w:val="003D71D1"/>
    <w:rsid w:val="003D763D"/>
    <w:rsid w:val="003E235D"/>
    <w:rsid w:val="003E4062"/>
    <w:rsid w:val="003E7CBF"/>
    <w:rsid w:val="003F5447"/>
    <w:rsid w:val="004010AF"/>
    <w:rsid w:val="004051FA"/>
    <w:rsid w:val="00411D30"/>
    <w:rsid w:val="004225E0"/>
    <w:rsid w:val="004258CC"/>
    <w:rsid w:val="00425F03"/>
    <w:rsid w:val="00430125"/>
    <w:rsid w:val="00431AC2"/>
    <w:rsid w:val="00431BF7"/>
    <w:rsid w:val="00432AA8"/>
    <w:rsid w:val="00437BFE"/>
    <w:rsid w:val="004402C7"/>
    <w:rsid w:val="00440657"/>
    <w:rsid w:val="004432B3"/>
    <w:rsid w:val="004450D8"/>
    <w:rsid w:val="00450C55"/>
    <w:rsid w:val="00450D76"/>
    <w:rsid w:val="004514E0"/>
    <w:rsid w:val="004608A5"/>
    <w:rsid w:val="004610DD"/>
    <w:rsid w:val="00461473"/>
    <w:rsid w:val="00461DFC"/>
    <w:rsid w:val="00462645"/>
    <w:rsid w:val="00463369"/>
    <w:rsid w:val="00463B93"/>
    <w:rsid w:val="0046748B"/>
    <w:rsid w:val="00473737"/>
    <w:rsid w:val="00481B25"/>
    <w:rsid w:val="00483F89"/>
    <w:rsid w:val="00485A22"/>
    <w:rsid w:val="00486CC3"/>
    <w:rsid w:val="00487925"/>
    <w:rsid w:val="00490A38"/>
    <w:rsid w:val="00490D22"/>
    <w:rsid w:val="004976A6"/>
    <w:rsid w:val="004A1455"/>
    <w:rsid w:val="004A3617"/>
    <w:rsid w:val="004A46F7"/>
    <w:rsid w:val="004A4AEB"/>
    <w:rsid w:val="004B1171"/>
    <w:rsid w:val="004B1550"/>
    <w:rsid w:val="004B24CE"/>
    <w:rsid w:val="004B4B10"/>
    <w:rsid w:val="004C0913"/>
    <w:rsid w:val="004C098F"/>
    <w:rsid w:val="004C736A"/>
    <w:rsid w:val="004D083F"/>
    <w:rsid w:val="004D0C78"/>
    <w:rsid w:val="004D1237"/>
    <w:rsid w:val="004D1C83"/>
    <w:rsid w:val="004D22FC"/>
    <w:rsid w:val="004D3F46"/>
    <w:rsid w:val="004D53F6"/>
    <w:rsid w:val="004E12F3"/>
    <w:rsid w:val="004E2710"/>
    <w:rsid w:val="004F19B5"/>
    <w:rsid w:val="004F2697"/>
    <w:rsid w:val="004F27E8"/>
    <w:rsid w:val="004F31F0"/>
    <w:rsid w:val="004F4362"/>
    <w:rsid w:val="004F5064"/>
    <w:rsid w:val="0050103C"/>
    <w:rsid w:val="0050168D"/>
    <w:rsid w:val="00502C67"/>
    <w:rsid w:val="00503D7E"/>
    <w:rsid w:val="00505B09"/>
    <w:rsid w:val="00505E4D"/>
    <w:rsid w:val="00507F9D"/>
    <w:rsid w:val="00513120"/>
    <w:rsid w:val="00516E35"/>
    <w:rsid w:val="00520471"/>
    <w:rsid w:val="00522B52"/>
    <w:rsid w:val="005233C3"/>
    <w:rsid w:val="005266BB"/>
    <w:rsid w:val="00526F18"/>
    <w:rsid w:val="00534FD6"/>
    <w:rsid w:val="00536D78"/>
    <w:rsid w:val="00537A6D"/>
    <w:rsid w:val="0054307F"/>
    <w:rsid w:val="00543081"/>
    <w:rsid w:val="00544614"/>
    <w:rsid w:val="0055116A"/>
    <w:rsid w:val="00557F00"/>
    <w:rsid w:val="0056173D"/>
    <w:rsid w:val="00565D22"/>
    <w:rsid w:val="00573881"/>
    <w:rsid w:val="00576820"/>
    <w:rsid w:val="00582C86"/>
    <w:rsid w:val="00586FB0"/>
    <w:rsid w:val="00587227"/>
    <w:rsid w:val="00587972"/>
    <w:rsid w:val="005953EF"/>
    <w:rsid w:val="005A220D"/>
    <w:rsid w:val="005B096D"/>
    <w:rsid w:val="005B1D51"/>
    <w:rsid w:val="005B3A29"/>
    <w:rsid w:val="005B5E15"/>
    <w:rsid w:val="005C0E24"/>
    <w:rsid w:val="005C43E5"/>
    <w:rsid w:val="005C4656"/>
    <w:rsid w:val="005D4803"/>
    <w:rsid w:val="005D4D94"/>
    <w:rsid w:val="005E3816"/>
    <w:rsid w:val="005F0C23"/>
    <w:rsid w:val="005F25D8"/>
    <w:rsid w:val="005F5C0E"/>
    <w:rsid w:val="005F5E2F"/>
    <w:rsid w:val="0060387E"/>
    <w:rsid w:val="00605C11"/>
    <w:rsid w:val="00611EA8"/>
    <w:rsid w:val="006133F4"/>
    <w:rsid w:val="006158DC"/>
    <w:rsid w:val="00621EC2"/>
    <w:rsid w:val="0062243D"/>
    <w:rsid w:val="006225E2"/>
    <w:rsid w:val="00633B0E"/>
    <w:rsid w:val="00634775"/>
    <w:rsid w:val="00641ED4"/>
    <w:rsid w:val="0064252F"/>
    <w:rsid w:val="00643539"/>
    <w:rsid w:val="00643699"/>
    <w:rsid w:val="00643AE4"/>
    <w:rsid w:val="006472D9"/>
    <w:rsid w:val="006504F3"/>
    <w:rsid w:val="006523B5"/>
    <w:rsid w:val="0065709D"/>
    <w:rsid w:val="00666E31"/>
    <w:rsid w:val="00670BF0"/>
    <w:rsid w:val="0067430F"/>
    <w:rsid w:val="00674A6B"/>
    <w:rsid w:val="00675726"/>
    <w:rsid w:val="00680265"/>
    <w:rsid w:val="0069212E"/>
    <w:rsid w:val="00692431"/>
    <w:rsid w:val="00693FF5"/>
    <w:rsid w:val="00694541"/>
    <w:rsid w:val="00694891"/>
    <w:rsid w:val="006A233E"/>
    <w:rsid w:val="006A326C"/>
    <w:rsid w:val="006B5434"/>
    <w:rsid w:val="006C0E5D"/>
    <w:rsid w:val="006C35EE"/>
    <w:rsid w:val="006D1F4E"/>
    <w:rsid w:val="006E0E5F"/>
    <w:rsid w:val="006E2771"/>
    <w:rsid w:val="006F3B8A"/>
    <w:rsid w:val="006F3C13"/>
    <w:rsid w:val="006F4FC9"/>
    <w:rsid w:val="006F524E"/>
    <w:rsid w:val="006F52DF"/>
    <w:rsid w:val="006F5FF0"/>
    <w:rsid w:val="007070E5"/>
    <w:rsid w:val="00712C62"/>
    <w:rsid w:val="00722048"/>
    <w:rsid w:val="00723062"/>
    <w:rsid w:val="00724864"/>
    <w:rsid w:val="00725F83"/>
    <w:rsid w:val="00726190"/>
    <w:rsid w:val="00727068"/>
    <w:rsid w:val="00730889"/>
    <w:rsid w:val="0073158B"/>
    <w:rsid w:val="00737A9D"/>
    <w:rsid w:val="0075031A"/>
    <w:rsid w:val="0075416F"/>
    <w:rsid w:val="007556E6"/>
    <w:rsid w:val="007609AE"/>
    <w:rsid w:val="00760CF6"/>
    <w:rsid w:val="0076343C"/>
    <w:rsid w:val="00763BAE"/>
    <w:rsid w:val="00764FA7"/>
    <w:rsid w:val="00765319"/>
    <w:rsid w:val="007700E3"/>
    <w:rsid w:val="007728CA"/>
    <w:rsid w:val="007729C7"/>
    <w:rsid w:val="00773B64"/>
    <w:rsid w:val="00773C04"/>
    <w:rsid w:val="00777699"/>
    <w:rsid w:val="00780299"/>
    <w:rsid w:val="007802FF"/>
    <w:rsid w:val="00781438"/>
    <w:rsid w:val="00782023"/>
    <w:rsid w:val="00782414"/>
    <w:rsid w:val="00782A37"/>
    <w:rsid w:val="007833E3"/>
    <w:rsid w:val="0078637D"/>
    <w:rsid w:val="007866A5"/>
    <w:rsid w:val="00787673"/>
    <w:rsid w:val="0079102E"/>
    <w:rsid w:val="007963CF"/>
    <w:rsid w:val="007A1F37"/>
    <w:rsid w:val="007A6412"/>
    <w:rsid w:val="007B243C"/>
    <w:rsid w:val="007B48A0"/>
    <w:rsid w:val="007B552F"/>
    <w:rsid w:val="007B79C7"/>
    <w:rsid w:val="007D3A24"/>
    <w:rsid w:val="007D74F8"/>
    <w:rsid w:val="007E028B"/>
    <w:rsid w:val="007E4C1F"/>
    <w:rsid w:val="007F02D7"/>
    <w:rsid w:val="007F057F"/>
    <w:rsid w:val="007F3D8E"/>
    <w:rsid w:val="007F6512"/>
    <w:rsid w:val="00801BA1"/>
    <w:rsid w:val="008055AF"/>
    <w:rsid w:val="0080580E"/>
    <w:rsid w:val="00810638"/>
    <w:rsid w:val="00813B15"/>
    <w:rsid w:val="00814B70"/>
    <w:rsid w:val="00815B32"/>
    <w:rsid w:val="008173EA"/>
    <w:rsid w:val="008223FE"/>
    <w:rsid w:val="008258D8"/>
    <w:rsid w:val="00825B9D"/>
    <w:rsid w:val="00826247"/>
    <w:rsid w:val="008346F9"/>
    <w:rsid w:val="00842D10"/>
    <w:rsid w:val="008433DE"/>
    <w:rsid w:val="00844248"/>
    <w:rsid w:val="00846EC0"/>
    <w:rsid w:val="00857D9D"/>
    <w:rsid w:val="00860B80"/>
    <w:rsid w:val="00862210"/>
    <w:rsid w:val="00863FF3"/>
    <w:rsid w:val="008650A7"/>
    <w:rsid w:val="00870F95"/>
    <w:rsid w:val="00875383"/>
    <w:rsid w:val="00875C23"/>
    <w:rsid w:val="008834EB"/>
    <w:rsid w:val="00884DC1"/>
    <w:rsid w:val="0088613A"/>
    <w:rsid w:val="00886FCB"/>
    <w:rsid w:val="00890EB0"/>
    <w:rsid w:val="0089364C"/>
    <w:rsid w:val="008945A4"/>
    <w:rsid w:val="008966C6"/>
    <w:rsid w:val="008A1A4B"/>
    <w:rsid w:val="008A414B"/>
    <w:rsid w:val="008A6E8B"/>
    <w:rsid w:val="008B0130"/>
    <w:rsid w:val="008B01B2"/>
    <w:rsid w:val="008B4C8E"/>
    <w:rsid w:val="008C1FA8"/>
    <w:rsid w:val="008C239F"/>
    <w:rsid w:val="008C7785"/>
    <w:rsid w:val="008D2052"/>
    <w:rsid w:val="008D381F"/>
    <w:rsid w:val="008E5FBD"/>
    <w:rsid w:val="008E6A76"/>
    <w:rsid w:val="008F2F08"/>
    <w:rsid w:val="008F3975"/>
    <w:rsid w:val="008F3C70"/>
    <w:rsid w:val="008F51E3"/>
    <w:rsid w:val="008F534F"/>
    <w:rsid w:val="008F71EF"/>
    <w:rsid w:val="0090530A"/>
    <w:rsid w:val="009063D1"/>
    <w:rsid w:val="0091239F"/>
    <w:rsid w:val="00916A7C"/>
    <w:rsid w:val="00921608"/>
    <w:rsid w:val="00923FC9"/>
    <w:rsid w:val="00924BAB"/>
    <w:rsid w:val="00924EFB"/>
    <w:rsid w:val="00933C87"/>
    <w:rsid w:val="00934367"/>
    <w:rsid w:val="009359B9"/>
    <w:rsid w:val="009363C5"/>
    <w:rsid w:val="00936C0E"/>
    <w:rsid w:val="00940C6B"/>
    <w:rsid w:val="00941DD8"/>
    <w:rsid w:val="00943AFC"/>
    <w:rsid w:val="009606C5"/>
    <w:rsid w:val="00960ED5"/>
    <w:rsid w:val="00961CDE"/>
    <w:rsid w:val="00962EC6"/>
    <w:rsid w:val="00963093"/>
    <w:rsid w:val="009635F0"/>
    <w:rsid w:val="009670BC"/>
    <w:rsid w:val="0097359C"/>
    <w:rsid w:val="00973EFB"/>
    <w:rsid w:val="00976E08"/>
    <w:rsid w:val="009775DA"/>
    <w:rsid w:val="00981830"/>
    <w:rsid w:val="009838EB"/>
    <w:rsid w:val="00984BCB"/>
    <w:rsid w:val="00985F77"/>
    <w:rsid w:val="009878B9"/>
    <w:rsid w:val="0099055A"/>
    <w:rsid w:val="00995D06"/>
    <w:rsid w:val="009A0B86"/>
    <w:rsid w:val="009A6A05"/>
    <w:rsid w:val="009A6DD7"/>
    <w:rsid w:val="009A7C11"/>
    <w:rsid w:val="009B59F8"/>
    <w:rsid w:val="009C1874"/>
    <w:rsid w:val="009C78C2"/>
    <w:rsid w:val="009D464A"/>
    <w:rsid w:val="009D55CD"/>
    <w:rsid w:val="009D7E70"/>
    <w:rsid w:val="009E01B9"/>
    <w:rsid w:val="009E043E"/>
    <w:rsid w:val="009E09F3"/>
    <w:rsid w:val="009E109E"/>
    <w:rsid w:val="009E7BF9"/>
    <w:rsid w:val="009F2538"/>
    <w:rsid w:val="009F44D0"/>
    <w:rsid w:val="009F616D"/>
    <w:rsid w:val="00A01DAB"/>
    <w:rsid w:val="00A07A1E"/>
    <w:rsid w:val="00A1798C"/>
    <w:rsid w:val="00A23D4A"/>
    <w:rsid w:val="00A24B36"/>
    <w:rsid w:val="00A264B6"/>
    <w:rsid w:val="00A26B53"/>
    <w:rsid w:val="00A307DC"/>
    <w:rsid w:val="00A34824"/>
    <w:rsid w:val="00A44717"/>
    <w:rsid w:val="00A46C05"/>
    <w:rsid w:val="00A51B85"/>
    <w:rsid w:val="00A623C5"/>
    <w:rsid w:val="00A643DB"/>
    <w:rsid w:val="00A654CD"/>
    <w:rsid w:val="00A65D86"/>
    <w:rsid w:val="00A661A5"/>
    <w:rsid w:val="00A748AA"/>
    <w:rsid w:val="00A74EB6"/>
    <w:rsid w:val="00A75B8E"/>
    <w:rsid w:val="00A75E37"/>
    <w:rsid w:val="00A7607B"/>
    <w:rsid w:val="00A76D23"/>
    <w:rsid w:val="00A815AD"/>
    <w:rsid w:val="00A81FAD"/>
    <w:rsid w:val="00A82F26"/>
    <w:rsid w:val="00A8493B"/>
    <w:rsid w:val="00A84D17"/>
    <w:rsid w:val="00A872C3"/>
    <w:rsid w:val="00A92508"/>
    <w:rsid w:val="00A93E3C"/>
    <w:rsid w:val="00AA0B62"/>
    <w:rsid w:val="00AA295A"/>
    <w:rsid w:val="00AA2EA9"/>
    <w:rsid w:val="00AA57D5"/>
    <w:rsid w:val="00AA68F3"/>
    <w:rsid w:val="00AA79A0"/>
    <w:rsid w:val="00AB0A01"/>
    <w:rsid w:val="00AB1AD9"/>
    <w:rsid w:val="00AB23CA"/>
    <w:rsid w:val="00AB3D1C"/>
    <w:rsid w:val="00AB5E88"/>
    <w:rsid w:val="00AB6D7D"/>
    <w:rsid w:val="00AC021C"/>
    <w:rsid w:val="00AC28B1"/>
    <w:rsid w:val="00AC740E"/>
    <w:rsid w:val="00AD122D"/>
    <w:rsid w:val="00AD2A8B"/>
    <w:rsid w:val="00AD694D"/>
    <w:rsid w:val="00AE3B0C"/>
    <w:rsid w:val="00AE41D9"/>
    <w:rsid w:val="00AE663C"/>
    <w:rsid w:val="00AF242B"/>
    <w:rsid w:val="00AF4AE0"/>
    <w:rsid w:val="00B00174"/>
    <w:rsid w:val="00B00F4D"/>
    <w:rsid w:val="00B04082"/>
    <w:rsid w:val="00B06026"/>
    <w:rsid w:val="00B105C8"/>
    <w:rsid w:val="00B14708"/>
    <w:rsid w:val="00B14B52"/>
    <w:rsid w:val="00B16B1F"/>
    <w:rsid w:val="00B20BCB"/>
    <w:rsid w:val="00B2542B"/>
    <w:rsid w:val="00B26ACE"/>
    <w:rsid w:val="00B301E0"/>
    <w:rsid w:val="00B33CD9"/>
    <w:rsid w:val="00B46148"/>
    <w:rsid w:val="00B51171"/>
    <w:rsid w:val="00B518CC"/>
    <w:rsid w:val="00B548C4"/>
    <w:rsid w:val="00B554A9"/>
    <w:rsid w:val="00B56EF5"/>
    <w:rsid w:val="00B647D0"/>
    <w:rsid w:val="00B65DAF"/>
    <w:rsid w:val="00B71BA2"/>
    <w:rsid w:val="00B73E05"/>
    <w:rsid w:val="00B77154"/>
    <w:rsid w:val="00B801DE"/>
    <w:rsid w:val="00B875FA"/>
    <w:rsid w:val="00B91904"/>
    <w:rsid w:val="00B92D75"/>
    <w:rsid w:val="00B94ABA"/>
    <w:rsid w:val="00B94DF4"/>
    <w:rsid w:val="00B94F89"/>
    <w:rsid w:val="00B95611"/>
    <w:rsid w:val="00BA364C"/>
    <w:rsid w:val="00BA5FA5"/>
    <w:rsid w:val="00BB3015"/>
    <w:rsid w:val="00BB3356"/>
    <w:rsid w:val="00BC1136"/>
    <w:rsid w:val="00BC38D1"/>
    <w:rsid w:val="00BC5538"/>
    <w:rsid w:val="00BC6625"/>
    <w:rsid w:val="00BD1B5C"/>
    <w:rsid w:val="00BD4CEF"/>
    <w:rsid w:val="00BD7A7C"/>
    <w:rsid w:val="00BD7EC4"/>
    <w:rsid w:val="00BE10B0"/>
    <w:rsid w:val="00BE21EB"/>
    <w:rsid w:val="00BE51B0"/>
    <w:rsid w:val="00BE5C5D"/>
    <w:rsid w:val="00BE733B"/>
    <w:rsid w:val="00BE7C09"/>
    <w:rsid w:val="00BF10F9"/>
    <w:rsid w:val="00BF2A46"/>
    <w:rsid w:val="00C02D44"/>
    <w:rsid w:val="00C06541"/>
    <w:rsid w:val="00C13A62"/>
    <w:rsid w:val="00C16C5A"/>
    <w:rsid w:val="00C16FB7"/>
    <w:rsid w:val="00C202D9"/>
    <w:rsid w:val="00C203B3"/>
    <w:rsid w:val="00C20AB7"/>
    <w:rsid w:val="00C2609F"/>
    <w:rsid w:val="00C34CA7"/>
    <w:rsid w:val="00C35C6D"/>
    <w:rsid w:val="00C41D09"/>
    <w:rsid w:val="00C423EF"/>
    <w:rsid w:val="00C4441A"/>
    <w:rsid w:val="00C46447"/>
    <w:rsid w:val="00C46C8F"/>
    <w:rsid w:val="00C5097E"/>
    <w:rsid w:val="00C5590C"/>
    <w:rsid w:val="00C60F05"/>
    <w:rsid w:val="00C63DCA"/>
    <w:rsid w:val="00C725BF"/>
    <w:rsid w:val="00C75C01"/>
    <w:rsid w:val="00C76490"/>
    <w:rsid w:val="00C76714"/>
    <w:rsid w:val="00C81819"/>
    <w:rsid w:val="00C81B84"/>
    <w:rsid w:val="00C81D3C"/>
    <w:rsid w:val="00C82359"/>
    <w:rsid w:val="00C905D4"/>
    <w:rsid w:val="00C90C51"/>
    <w:rsid w:val="00C94412"/>
    <w:rsid w:val="00CA650B"/>
    <w:rsid w:val="00CB174E"/>
    <w:rsid w:val="00CB4092"/>
    <w:rsid w:val="00CB5391"/>
    <w:rsid w:val="00CC1933"/>
    <w:rsid w:val="00CC4300"/>
    <w:rsid w:val="00CC549B"/>
    <w:rsid w:val="00CD1FAB"/>
    <w:rsid w:val="00CD61BE"/>
    <w:rsid w:val="00CE453C"/>
    <w:rsid w:val="00CF24AC"/>
    <w:rsid w:val="00D003E1"/>
    <w:rsid w:val="00D12483"/>
    <w:rsid w:val="00D128F7"/>
    <w:rsid w:val="00D212D3"/>
    <w:rsid w:val="00D21949"/>
    <w:rsid w:val="00D21D9D"/>
    <w:rsid w:val="00D22C79"/>
    <w:rsid w:val="00D23556"/>
    <w:rsid w:val="00D2430E"/>
    <w:rsid w:val="00D24E27"/>
    <w:rsid w:val="00D3033C"/>
    <w:rsid w:val="00D31C2D"/>
    <w:rsid w:val="00D36D48"/>
    <w:rsid w:val="00D446A6"/>
    <w:rsid w:val="00D46E2A"/>
    <w:rsid w:val="00D512A2"/>
    <w:rsid w:val="00D559E9"/>
    <w:rsid w:val="00D724E9"/>
    <w:rsid w:val="00D72CBA"/>
    <w:rsid w:val="00D75DA8"/>
    <w:rsid w:val="00D75E78"/>
    <w:rsid w:val="00D76CAF"/>
    <w:rsid w:val="00D77D04"/>
    <w:rsid w:val="00D8230F"/>
    <w:rsid w:val="00D83839"/>
    <w:rsid w:val="00D974CB"/>
    <w:rsid w:val="00DA59C1"/>
    <w:rsid w:val="00DA788F"/>
    <w:rsid w:val="00DB05D3"/>
    <w:rsid w:val="00DB2D1E"/>
    <w:rsid w:val="00DB5F9D"/>
    <w:rsid w:val="00DC083C"/>
    <w:rsid w:val="00DC3558"/>
    <w:rsid w:val="00DC6E2F"/>
    <w:rsid w:val="00DC7D23"/>
    <w:rsid w:val="00DD1335"/>
    <w:rsid w:val="00DD16A1"/>
    <w:rsid w:val="00DD4D32"/>
    <w:rsid w:val="00DD7B63"/>
    <w:rsid w:val="00DE135F"/>
    <w:rsid w:val="00DE2C1D"/>
    <w:rsid w:val="00DE6493"/>
    <w:rsid w:val="00DE717F"/>
    <w:rsid w:val="00DE784D"/>
    <w:rsid w:val="00DF3B11"/>
    <w:rsid w:val="00E036C1"/>
    <w:rsid w:val="00E1425A"/>
    <w:rsid w:val="00E16F11"/>
    <w:rsid w:val="00E222D5"/>
    <w:rsid w:val="00E2673C"/>
    <w:rsid w:val="00E26B69"/>
    <w:rsid w:val="00E26BD7"/>
    <w:rsid w:val="00E2784C"/>
    <w:rsid w:val="00E31946"/>
    <w:rsid w:val="00E336F8"/>
    <w:rsid w:val="00E35B2E"/>
    <w:rsid w:val="00E37EB1"/>
    <w:rsid w:val="00E4101E"/>
    <w:rsid w:val="00E4737A"/>
    <w:rsid w:val="00E53812"/>
    <w:rsid w:val="00E57A07"/>
    <w:rsid w:val="00E608E9"/>
    <w:rsid w:val="00E64216"/>
    <w:rsid w:val="00E644C2"/>
    <w:rsid w:val="00E6489B"/>
    <w:rsid w:val="00E64A65"/>
    <w:rsid w:val="00E653F1"/>
    <w:rsid w:val="00E6591E"/>
    <w:rsid w:val="00E702AE"/>
    <w:rsid w:val="00E725CD"/>
    <w:rsid w:val="00E72C0E"/>
    <w:rsid w:val="00E76BFA"/>
    <w:rsid w:val="00E774BB"/>
    <w:rsid w:val="00E77FD3"/>
    <w:rsid w:val="00E80A87"/>
    <w:rsid w:val="00E843D6"/>
    <w:rsid w:val="00E858EA"/>
    <w:rsid w:val="00E86E52"/>
    <w:rsid w:val="00E875F3"/>
    <w:rsid w:val="00E90252"/>
    <w:rsid w:val="00E90484"/>
    <w:rsid w:val="00E90CC2"/>
    <w:rsid w:val="00E9198E"/>
    <w:rsid w:val="00E940A2"/>
    <w:rsid w:val="00E95825"/>
    <w:rsid w:val="00EA3560"/>
    <w:rsid w:val="00EA4C19"/>
    <w:rsid w:val="00EA6A6C"/>
    <w:rsid w:val="00EB38ED"/>
    <w:rsid w:val="00EB5326"/>
    <w:rsid w:val="00EB5705"/>
    <w:rsid w:val="00EB6844"/>
    <w:rsid w:val="00EC130D"/>
    <w:rsid w:val="00EC447C"/>
    <w:rsid w:val="00ED2530"/>
    <w:rsid w:val="00ED3878"/>
    <w:rsid w:val="00ED4995"/>
    <w:rsid w:val="00ED58D6"/>
    <w:rsid w:val="00ED6409"/>
    <w:rsid w:val="00EE128A"/>
    <w:rsid w:val="00EE6660"/>
    <w:rsid w:val="00EE7B56"/>
    <w:rsid w:val="00EF0721"/>
    <w:rsid w:val="00EF3AD6"/>
    <w:rsid w:val="00F02E32"/>
    <w:rsid w:val="00F11208"/>
    <w:rsid w:val="00F14A86"/>
    <w:rsid w:val="00F17F8D"/>
    <w:rsid w:val="00F25664"/>
    <w:rsid w:val="00F316AA"/>
    <w:rsid w:val="00F317FE"/>
    <w:rsid w:val="00F31DB0"/>
    <w:rsid w:val="00F32EFF"/>
    <w:rsid w:val="00F45A9E"/>
    <w:rsid w:val="00F613B5"/>
    <w:rsid w:val="00F73F03"/>
    <w:rsid w:val="00F76447"/>
    <w:rsid w:val="00F775CC"/>
    <w:rsid w:val="00F81121"/>
    <w:rsid w:val="00F81230"/>
    <w:rsid w:val="00F84C63"/>
    <w:rsid w:val="00F861DC"/>
    <w:rsid w:val="00FA0453"/>
    <w:rsid w:val="00FA6672"/>
    <w:rsid w:val="00FA6DBB"/>
    <w:rsid w:val="00FA74B2"/>
    <w:rsid w:val="00FB0302"/>
    <w:rsid w:val="00FB0B50"/>
    <w:rsid w:val="00FB50D9"/>
    <w:rsid w:val="00FB6567"/>
    <w:rsid w:val="00FB7721"/>
    <w:rsid w:val="00FB7811"/>
    <w:rsid w:val="00FB7DF8"/>
    <w:rsid w:val="00FC0166"/>
    <w:rsid w:val="00FC27CA"/>
    <w:rsid w:val="00FD79EF"/>
    <w:rsid w:val="00FE163D"/>
    <w:rsid w:val="00FE1C73"/>
    <w:rsid w:val="00FE4878"/>
    <w:rsid w:val="00FE5FA1"/>
    <w:rsid w:val="00FE6B60"/>
    <w:rsid w:val="00FE6ED9"/>
    <w:rsid w:val="00FE7384"/>
    <w:rsid w:val="00FF5D3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2ED974"/>
  <w15:docId w15:val="{CA2D2B3C-044A-4116-9C8A-8E3D9C06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E31"/>
    <w:pPr>
      <w:spacing w:after="0" w:line="240" w:lineRule="auto"/>
    </w:pPr>
    <w:rPr>
      <w:rFonts w:ascii="Times" w:eastAsia="Times" w:hAnsi="Times" w:cs="Times New Roman"/>
      <w:sz w:val="24"/>
      <w:szCs w:val="20"/>
      <w:lang w:val="en-GB"/>
    </w:rPr>
  </w:style>
  <w:style w:type="paragraph" w:styleId="Heading1">
    <w:name w:val="heading 1"/>
    <w:basedOn w:val="Normal"/>
    <w:next w:val="Normal"/>
    <w:link w:val="Heading1Char"/>
    <w:qFormat/>
    <w:rsid w:val="00666E31"/>
    <w:pPr>
      <w:keepNext/>
      <w:jc w:val="center"/>
      <w:outlineLvl w:val="0"/>
    </w:pPr>
    <w:rPr>
      <w:b/>
      <w:caps/>
      <w:sz w:val="28"/>
    </w:rPr>
  </w:style>
  <w:style w:type="paragraph" w:styleId="Heading2">
    <w:name w:val="heading 2"/>
    <w:basedOn w:val="Normal"/>
    <w:next w:val="Normal"/>
    <w:link w:val="Heading2Char"/>
    <w:uiPriority w:val="9"/>
    <w:unhideWhenUsed/>
    <w:qFormat/>
    <w:rsid w:val="00E77F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6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123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D763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E31"/>
    <w:pPr>
      <w:tabs>
        <w:tab w:val="center" w:pos="4513"/>
        <w:tab w:val="right" w:pos="9026"/>
      </w:tabs>
    </w:pPr>
    <w:rPr>
      <w:rFonts w:asciiTheme="minorHAnsi" w:eastAsiaTheme="minorHAnsi" w:hAnsiTheme="minorHAnsi" w:cstheme="minorBidi"/>
      <w:sz w:val="22"/>
      <w:szCs w:val="22"/>
      <w:lang w:val="en-NZ"/>
    </w:rPr>
  </w:style>
  <w:style w:type="character" w:customStyle="1" w:styleId="HeaderChar">
    <w:name w:val="Header Char"/>
    <w:basedOn w:val="DefaultParagraphFont"/>
    <w:link w:val="Header"/>
    <w:uiPriority w:val="99"/>
    <w:rsid w:val="00666E31"/>
  </w:style>
  <w:style w:type="paragraph" w:styleId="Footer">
    <w:name w:val="footer"/>
    <w:basedOn w:val="Normal"/>
    <w:link w:val="FooterChar"/>
    <w:uiPriority w:val="99"/>
    <w:unhideWhenUsed/>
    <w:rsid w:val="00666E31"/>
    <w:pPr>
      <w:tabs>
        <w:tab w:val="center" w:pos="4513"/>
        <w:tab w:val="right" w:pos="9026"/>
      </w:tabs>
    </w:pPr>
    <w:rPr>
      <w:rFonts w:asciiTheme="minorHAnsi" w:eastAsiaTheme="minorHAnsi" w:hAnsiTheme="minorHAnsi" w:cstheme="minorBidi"/>
      <w:sz w:val="22"/>
      <w:szCs w:val="22"/>
      <w:lang w:val="en-NZ"/>
    </w:rPr>
  </w:style>
  <w:style w:type="character" w:customStyle="1" w:styleId="FooterChar">
    <w:name w:val="Footer Char"/>
    <w:basedOn w:val="DefaultParagraphFont"/>
    <w:link w:val="Footer"/>
    <w:uiPriority w:val="99"/>
    <w:rsid w:val="00666E31"/>
  </w:style>
  <w:style w:type="character" w:customStyle="1" w:styleId="Heading1Char">
    <w:name w:val="Heading 1 Char"/>
    <w:basedOn w:val="DefaultParagraphFont"/>
    <w:link w:val="Heading1"/>
    <w:rsid w:val="00666E31"/>
    <w:rPr>
      <w:rFonts w:ascii="Times" w:eastAsia="Times" w:hAnsi="Times" w:cs="Times New Roman"/>
      <w:b/>
      <w:caps/>
      <w:sz w:val="28"/>
      <w:szCs w:val="20"/>
      <w:lang w:val="en-GB"/>
    </w:rPr>
  </w:style>
  <w:style w:type="table" w:styleId="TableGrid">
    <w:name w:val="Table Grid"/>
    <w:basedOn w:val="TableNormal"/>
    <w:uiPriority w:val="59"/>
    <w:rsid w:val="0066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EFF"/>
    <w:pPr>
      <w:ind w:left="720"/>
      <w:contextualSpacing/>
    </w:pPr>
  </w:style>
  <w:style w:type="character" w:customStyle="1" w:styleId="Heading2Char">
    <w:name w:val="Heading 2 Char"/>
    <w:basedOn w:val="DefaultParagraphFont"/>
    <w:link w:val="Heading2"/>
    <w:uiPriority w:val="9"/>
    <w:rsid w:val="00E77FD3"/>
    <w:rPr>
      <w:rFonts w:asciiTheme="majorHAnsi" w:eastAsiaTheme="majorEastAsia" w:hAnsiTheme="majorHAnsi" w:cstheme="majorBidi"/>
      <w:b/>
      <w:bCs/>
      <w:color w:val="4F81BD" w:themeColor="accent1"/>
      <w:sz w:val="26"/>
      <w:szCs w:val="26"/>
      <w:lang w:val="en-GB"/>
    </w:rPr>
  </w:style>
  <w:style w:type="paragraph" w:styleId="Title">
    <w:name w:val="Title"/>
    <w:basedOn w:val="Normal"/>
    <w:next w:val="Normal"/>
    <w:link w:val="TitleChar"/>
    <w:uiPriority w:val="10"/>
    <w:qFormat/>
    <w:rsid w:val="004402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2C7"/>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A24B36"/>
    <w:rPr>
      <w:color w:val="0000FF"/>
      <w:u w:val="single"/>
    </w:rPr>
  </w:style>
  <w:style w:type="paragraph" w:styleId="NormalWeb">
    <w:name w:val="Normal (Web)"/>
    <w:basedOn w:val="Normal"/>
    <w:uiPriority w:val="99"/>
    <w:unhideWhenUsed/>
    <w:rsid w:val="00A24B36"/>
    <w:pPr>
      <w:spacing w:before="100" w:beforeAutospacing="1" w:after="100" w:afterAutospacing="1"/>
    </w:pPr>
    <w:rPr>
      <w:rFonts w:ascii="Times New Roman" w:eastAsia="Times New Roman" w:hAnsi="Times New Roman"/>
      <w:szCs w:val="24"/>
      <w:lang w:val="en-NZ" w:eastAsia="en-NZ"/>
    </w:rPr>
  </w:style>
  <w:style w:type="paragraph" w:styleId="FootnoteText">
    <w:name w:val="footnote text"/>
    <w:basedOn w:val="Normal"/>
    <w:link w:val="FootnoteTextChar"/>
    <w:uiPriority w:val="99"/>
    <w:unhideWhenUsed/>
    <w:rsid w:val="00A24B36"/>
    <w:rPr>
      <w:rFonts w:ascii="Verdana" w:eastAsiaTheme="minorHAnsi" w:hAnsi="Verdana" w:cstheme="minorBidi"/>
      <w:sz w:val="20"/>
      <w:lang w:val="en-NZ"/>
    </w:rPr>
  </w:style>
  <w:style w:type="character" w:customStyle="1" w:styleId="FootnoteTextChar">
    <w:name w:val="Footnote Text Char"/>
    <w:basedOn w:val="DefaultParagraphFont"/>
    <w:link w:val="FootnoteText"/>
    <w:uiPriority w:val="99"/>
    <w:rsid w:val="00A24B36"/>
    <w:rPr>
      <w:rFonts w:ascii="Verdana" w:hAnsi="Verdana"/>
      <w:sz w:val="20"/>
      <w:szCs w:val="20"/>
    </w:rPr>
  </w:style>
  <w:style w:type="paragraph" w:customStyle="1" w:styleId="SingleTxtG">
    <w:name w:val="_ Single Txt_G"/>
    <w:basedOn w:val="Normal"/>
    <w:uiPriority w:val="99"/>
    <w:rsid w:val="00A24B36"/>
    <w:pPr>
      <w:suppressAutoHyphens/>
      <w:spacing w:after="120" w:line="240" w:lineRule="atLeast"/>
      <w:ind w:left="1134" w:right="1134"/>
      <w:jc w:val="both"/>
    </w:pPr>
    <w:rPr>
      <w:rFonts w:ascii="Times New Roman" w:eastAsia="Times New Roman" w:hAnsi="Times New Roman"/>
      <w:sz w:val="20"/>
    </w:rPr>
  </w:style>
  <w:style w:type="paragraph" w:customStyle="1" w:styleId="text">
    <w:name w:val="text"/>
    <w:basedOn w:val="Normal"/>
    <w:rsid w:val="00A24B36"/>
    <w:pPr>
      <w:spacing w:before="100" w:beforeAutospacing="1" w:after="100" w:afterAutospacing="1"/>
    </w:pPr>
    <w:rPr>
      <w:rFonts w:ascii="Times New Roman" w:eastAsia="Times New Roman" w:hAnsi="Times New Roman"/>
      <w:szCs w:val="24"/>
      <w:lang w:val="en-NZ" w:eastAsia="en-NZ"/>
    </w:rPr>
  </w:style>
  <w:style w:type="character" w:styleId="FootnoteReference">
    <w:name w:val="footnote reference"/>
    <w:basedOn w:val="DefaultParagraphFont"/>
    <w:uiPriority w:val="99"/>
    <w:unhideWhenUsed/>
    <w:rsid w:val="00A24B36"/>
    <w:rPr>
      <w:vertAlign w:val="superscript"/>
    </w:rPr>
  </w:style>
  <w:style w:type="character" w:customStyle="1" w:styleId="textrun">
    <w:name w:val="textrun"/>
    <w:basedOn w:val="DefaultParagraphFont"/>
    <w:rsid w:val="00A24B36"/>
  </w:style>
  <w:style w:type="character" w:styleId="HTMLCite">
    <w:name w:val="HTML Cite"/>
    <w:basedOn w:val="DefaultParagraphFont"/>
    <w:uiPriority w:val="99"/>
    <w:semiHidden/>
    <w:unhideWhenUsed/>
    <w:rsid w:val="00A24B36"/>
    <w:rPr>
      <w:i/>
      <w:iCs/>
    </w:rPr>
  </w:style>
  <w:style w:type="character" w:customStyle="1" w:styleId="Heading3Char">
    <w:name w:val="Heading 3 Char"/>
    <w:basedOn w:val="DefaultParagraphFont"/>
    <w:link w:val="Heading3"/>
    <w:uiPriority w:val="9"/>
    <w:rsid w:val="000346C8"/>
    <w:rPr>
      <w:rFonts w:asciiTheme="majorHAnsi" w:eastAsiaTheme="majorEastAsia" w:hAnsiTheme="majorHAnsi" w:cstheme="majorBidi"/>
      <w:b/>
      <w:bCs/>
      <w:color w:val="4F81BD" w:themeColor="accent1"/>
      <w:sz w:val="24"/>
      <w:szCs w:val="20"/>
      <w:lang w:val="en-GB"/>
    </w:rPr>
  </w:style>
  <w:style w:type="paragraph" w:styleId="NoSpacing">
    <w:name w:val="No Spacing"/>
    <w:uiPriority w:val="1"/>
    <w:qFormat/>
    <w:rsid w:val="002C02E5"/>
    <w:pPr>
      <w:spacing w:after="0" w:line="240" w:lineRule="auto"/>
    </w:pPr>
    <w:rPr>
      <w:rFonts w:ascii="Times" w:eastAsia="Times" w:hAnsi="Times" w:cs="Times New Roman"/>
      <w:sz w:val="24"/>
      <w:szCs w:val="20"/>
      <w:lang w:val="en-GB"/>
    </w:rPr>
  </w:style>
  <w:style w:type="paragraph" w:styleId="BalloonText">
    <w:name w:val="Balloon Text"/>
    <w:basedOn w:val="Normal"/>
    <w:link w:val="BalloonTextChar"/>
    <w:uiPriority w:val="99"/>
    <w:semiHidden/>
    <w:unhideWhenUsed/>
    <w:rsid w:val="00386AC6"/>
    <w:rPr>
      <w:rFonts w:ascii="Tahoma" w:hAnsi="Tahoma" w:cs="Tahoma"/>
      <w:sz w:val="16"/>
      <w:szCs w:val="16"/>
    </w:rPr>
  </w:style>
  <w:style w:type="character" w:customStyle="1" w:styleId="BalloonTextChar">
    <w:name w:val="Balloon Text Char"/>
    <w:basedOn w:val="DefaultParagraphFont"/>
    <w:link w:val="BalloonText"/>
    <w:uiPriority w:val="99"/>
    <w:semiHidden/>
    <w:rsid w:val="00386AC6"/>
    <w:rPr>
      <w:rFonts w:ascii="Tahoma" w:eastAsia="Times" w:hAnsi="Tahoma" w:cs="Tahoma"/>
      <w:sz w:val="16"/>
      <w:szCs w:val="16"/>
      <w:lang w:val="en-GB"/>
    </w:rPr>
  </w:style>
  <w:style w:type="character" w:customStyle="1" w:styleId="Heading4Char">
    <w:name w:val="Heading 4 Char"/>
    <w:basedOn w:val="DefaultParagraphFont"/>
    <w:link w:val="Heading4"/>
    <w:uiPriority w:val="9"/>
    <w:rsid w:val="004D1237"/>
    <w:rPr>
      <w:rFonts w:asciiTheme="majorHAnsi" w:eastAsiaTheme="majorEastAsia" w:hAnsiTheme="majorHAnsi" w:cstheme="majorBidi"/>
      <w:b/>
      <w:bCs/>
      <w:i/>
      <w:iCs/>
      <w:color w:val="4F81BD" w:themeColor="accent1"/>
      <w:sz w:val="24"/>
      <w:szCs w:val="20"/>
      <w:lang w:val="en-GB"/>
    </w:rPr>
  </w:style>
  <w:style w:type="character" w:styleId="Strong">
    <w:name w:val="Strong"/>
    <w:basedOn w:val="DefaultParagraphFont"/>
    <w:uiPriority w:val="22"/>
    <w:qFormat/>
    <w:rsid w:val="00D2430E"/>
    <w:rPr>
      <w:b/>
      <w:bCs/>
    </w:rPr>
  </w:style>
  <w:style w:type="paragraph" w:customStyle="1" w:styleId="Body-HumanRightsCentreBulletin">
    <w:name w:val="Body - Human Rights Centre Bulletin"/>
    <w:basedOn w:val="Normal"/>
    <w:link w:val="Body-HumanRightsCentreBulletinChar"/>
    <w:qFormat/>
    <w:rsid w:val="008D2052"/>
    <w:pPr>
      <w:spacing w:before="120" w:after="120" w:line="276" w:lineRule="auto"/>
    </w:pPr>
    <w:rPr>
      <w:rFonts w:ascii="Book Antiqua" w:hAnsi="Book Antiqua"/>
      <w:sz w:val="22"/>
      <w:szCs w:val="22"/>
    </w:rPr>
  </w:style>
  <w:style w:type="character" w:customStyle="1" w:styleId="Body-HumanRightsCentreBulletinChar">
    <w:name w:val="Body - Human Rights Centre Bulletin Char"/>
    <w:basedOn w:val="DefaultParagraphFont"/>
    <w:link w:val="Body-HumanRightsCentreBulletin"/>
    <w:rsid w:val="008D2052"/>
    <w:rPr>
      <w:rFonts w:ascii="Book Antiqua" w:eastAsia="Times" w:hAnsi="Book Antiqua" w:cs="Times New Roman"/>
      <w:lang w:val="en-GB"/>
    </w:rPr>
  </w:style>
  <w:style w:type="paragraph" w:styleId="TOCHeading">
    <w:name w:val="TOC Heading"/>
    <w:basedOn w:val="Heading1"/>
    <w:next w:val="Normal"/>
    <w:uiPriority w:val="39"/>
    <w:unhideWhenUsed/>
    <w:qFormat/>
    <w:rsid w:val="006523B5"/>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DB5F9D"/>
    <w:pPr>
      <w:spacing w:after="100"/>
    </w:pPr>
    <w:rPr>
      <w:sz w:val="22"/>
    </w:rPr>
  </w:style>
  <w:style w:type="paragraph" w:styleId="TOC2">
    <w:name w:val="toc 2"/>
    <w:basedOn w:val="Normal"/>
    <w:next w:val="Normal"/>
    <w:autoRedefine/>
    <w:uiPriority w:val="39"/>
    <w:unhideWhenUsed/>
    <w:rsid w:val="006523B5"/>
    <w:pPr>
      <w:spacing w:after="100"/>
      <w:ind w:left="240"/>
    </w:pPr>
  </w:style>
  <w:style w:type="character" w:styleId="FollowedHyperlink">
    <w:name w:val="FollowedHyperlink"/>
    <w:basedOn w:val="DefaultParagraphFont"/>
    <w:uiPriority w:val="99"/>
    <w:semiHidden/>
    <w:unhideWhenUsed/>
    <w:rsid w:val="002A13A7"/>
    <w:rPr>
      <w:color w:val="800080" w:themeColor="followedHyperlink"/>
      <w:u w:val="single"/>
    </w:rPr>
  </w:style>
  <w:style w:type="character" w:customStyle="1" w:styleId="Heading5Char">
    <w:name w:val="Heading 5 Char"/>
    <w:basedOn w:val="DefaultParagraphFont"/>
    <w:link w:val="Heading5"/>
    <w:uiPriority w:val="9"/>
    <w:rsid w:val="003D763D"/>
    <w:rPr>
      <w:rFonts w:asciiTheme="majorHAnsi" w:eastAsiaTheme="majorEastAsia" w:hAnsiTheme="majorHAnsi" w:cstheme="majorBidi"/>
      <w:color w:val="365F91" w:themeColor="accent1" w:themeShade="BF"/>
      <w:sz w:val="24"/>
      <w:szCs w:val="20"/>
      <w:lang w:val="en-GB"/>
    </w:rPr>
  </w:style>
  <w:style w:type="character" w:customStyle="1" w:styleId="st">
    <w:name w:val="st"/>
    <w:basedOn w:val="DefaultParagraphFont"/>
    <w:rsid w:val="00961CDE"/>
  </w:style>
  <w:style w:type="character" w:styleId="Emphasis">
    <w:name w:val="Emphasis"/>
    <w:basedOn w:val="DefaultParagraphFont"/>
    <w:uiPriority w:val="20"/>
    <w:qFormat/>
    <w:rsid w:val="00961CDE"/>
    <w:rPr>
      <w:i/>
      <w:iCs/>
    </w:rPr>
  </w:style>
  <w:style w:type="paragraph" w:styleId="EndnoteText">
    <w:name w:val="endnote text"/>
    <w:basedOn w:val="Normal"/>
    <w:link w:val="EndnoteTextChar"/>
    <w:uiPriority w:val="99"/>
    <w:semiHidden/>
    <w:unhideWhenUsed/>
    <w:rsid w:val="00961CDE"/>
    <w:rPr>
      <w:rFonts w:ascii="Verdana" w:eastAsiaTheme="minorHAnsi" w:hAnsi="Verdana" w:cstheme="minorBidi"/>
      <w:sz w:val="20"/>
      <w:lang w:val="en-NZ"/>
    </w:rPr>
  </w:style>
  <w:style w:type="character" w:customStyle="1" w:styleId="EndnoteTextChar">
    <w:name w:val="Endnote Text Char"/>
    <w:basedOn w:val="DefaultParagraphFont"/>
    <w:link w:val="EndnoteText"/>
    <w:uiPriority w:val="99"/>
    <w:semiHidden/>
    <w:rsid w:val="00961CDE"/>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130">
      <w:bodyDiv w:val="1"/>
      <w:marLeft w:val="0"/>
      <w:marRight w:val="0"/>
      <w:marTop w:val="0"/>
      <w:marBottom w:val="0"/>
      <w:divBdr>
        <w:top w:val="none" w:sz="0" w:space="0" w:color="auto"/>
        <w:left w:val="none" w:sz="0" w:space="0" w:color="auto"/>
        <w:bottom w:val="none" w:sz="0" w:space="0" w:color="auto"/>
        <w:right w:val="none" w:sz="0" w:space="0" w:color="auto"/>
      </w:divBdr>
    </w:div>
    <w:div w:id="98721224">
      <w:bodyDiv w:val="1"/>
      <w:marLeft w:val="0"/>
      <w:marRight w:val="0"/>
      <w:marTop w:val="0"/>
      <w:marBottom w:val="0"/>
      <w:divBdr>
        <w:top w:val="none" w:sz="0" w:space="0" w:color="auto"/>
        <w:left w:val="none" w:sz="0" w:space="0" w:color="auto"/>
        <w:bottom w:val="none" w:sz="0" w:space="0" w:color="auto"/>
        <w:right w:val="none" w:sz="0" w:space="0" w:color="auto"/>
      </w:divBdr>
    </w:div>
    <w:div w:id="243537579">
      <w:bodyDiv w:val="1"/>
      <w:marLeft w:val="0"/>
      <w:marRight w:val="0"/>
      <w:marTop w:val="0"/>
      <w:marBottom w:val="0"/>
      <w:divBdr>
        <w:top w:val="none" w:sz="0" w:space="0" w:color="auto"/>
        <w:left w:val="none" w:sz="0" w:space="0" w:color="auto"/>
        <w:bottom w:val="none" w:sz="0" w:space="0" w:color="auto"/>
        <w:right w:val="none" w:sz="0" w:space="0" w:color="auto"/>
      </w:divBdr>
    </w:div>
    <w:div w:id="327169763">
      <w:bodyDiv w:val="1"/>
      <w:marLeft w:val="0"/>
      <w:marRight w:val="0"/>
      <w:marTop w:val="0"/>
      <w:marBottom w:val="0"/>
      <w:divBdr>
        <w:top w:val="none" w:sz="0" w:space="0" w:color="auto"/>
        <w:left w:val="none" w:sz="0" w:space="0" w:color="auto"/>
        <w:bottom w:val="none" w:sz="0" w:space="0" w:color="auto"/>
        <w:right w:val="none" w:sz="0" w:space="0" w:color="auto"/>
      </w:divBdr>
    </w:div>
    <w:div w:id="377824995">
      <w:bodyDiv w:val="1"/>
      <w:marLeft w:val="0"/>
      <w:marRight w:val="0"/>
      <w:marTop w:val="0"/>
      <w:marBottom w:val="0"/>
      <w:divBdr>
        <w:top w:val="none" w:sz="0" w:space="0" w:color="auto"/>
        <w:left w:val="none" w:sz="0" w:space="0" w:color="auto"/>
        <w:bottom w:val="none" w:sz="0" w:space="0" w:color="auto"/>
        <w:right w:val="none" w:sz="0" w:space="0" w:color="auto"/>
      </w:divBdr>
    </w:div>
    <w:div w:id="383724701">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
    <w:div w:id="651301487">
      <w:bodyDiv w:val="1"/>
      <w:marLeft w:val="0"/>
      <w:marRight w:val="0"/>
      <w:marTop w:val="0"/>
      <w:marBottom w:val="0"/>
      <w:divBdr>
        <w:top w:val="none" w:sz="0" w:space="0" w:color="auto"/>
        <w:left w:val="none" w:sz="0" w:space="0" w:color="auto"/>
        <w:bottom w:val="none" w:sz="0" w:space="0" w:color="auto"/>
        <w:right w:val="none" w:sz="0" w:space="0" w:color="auto"/>
      </w:divBdr>
    </w:div>
    <w:div w:id="836845605">
      <w:bodyDiv w:val="1"/>
      <w:marLeft w:val="0"/>
      <w:marRight w:val="0"/>
      <w:marTop w:val="0"/>
      <w:marBottom w:val="0"/>
      <w:divBdr>
        <w:top w:val="none" w:sz="0" w:space="0" w:color="auto"/>
        <w:left w:val="none" w:sz="0" w:space="0" w:color="auto"/>
        <w:bottom w:val="none" w:sz="0" w:space="0" w:color="auto"/>
        <w:right w:val="none" w:sz="0" w:space="0" w:color="auto"/>
      </w:divBdr>
    </w:div>
    <w:div w:id="1107117974">
      <w:bodyDiv w:val="1"/>
      <w:marLeft w:val="0"/>
      <w:marRight w:val="0"/>
      <w:marTop w:val="0"/>
      <w:marBottom w:val="0"/>
      <w:divBdr>
        <w:top w:val="none" w:sz="0" w:space="0" w:color="auto"/>
        <w:left w:val="none" w:sz="0" w:space="0" w:color="auto"/>
        <w:bottom w:val="none" w:sz="0" w:space="0" w:color="auto"/>
        <w:right w:val="none" w:sz="0" w:space="0" w:color="auto"/>
      </w:divBdr>
    </w:div>
    <w:div w:id="1210848347">
      <w:bodyDiv w:val="1"/>
      <w:marLeft w:val="0"/>
      <w:marRight w:val="0"/>
      <w:marTop w:val="0"/>
      <w:marBottom w:val="0"/>
      <w:divBdr>
        <w:top w:val="none" w:sz="0" w:space="0" w:color="auto"/>
        <w:left w:val="none" w:sz="0" w:space="0" w:color="auto"/>
        <w:bottom w:val="none" w:sz="0" w:space="0" w:color="auto"/>
        <w:right w:val="none" w:sz="0" w:space="0" w:color="auto"/>
      </w:divBdr>
    </w:div>
    <w:div w:id="1309895677">
      <w:bodyDiv w:val="1"/>
      <w:marLeft w:val="0"/>
      <w:marRight w:val="0"/>
      <w:marTop w:val="0"/>
      <w:marBottom w:val="0"/>
      <w:divBdr>
        <w:top w:val="none" w:sz="0" w:space="0" w:color="auto"/>
        <w:left w:val="none" w:sz="0" w:space="0" w:color="auto"/>
        <w:bottom w:val="none" w:sz="0" w:space="0" w:color="auto"/>
        <w:right w:val="none" w:sz="0" w:space="0" w:color="auto"/>
      </w:divBdr>
    </w:div>
    <w:div w:id="1413813088">
      <w:bodyDiv w:val="1"/>
      <w:marLeft w:val="0"/>
      <w:marRight w:val="0"/>
      <w:marTop w:val="0"/>
      <w:marBottom w:val="0"/>
      <w:divBdr>
        <w:top w:val="none" w:sz="0" w:space="0" w:color="auto"/>
        <w:left w:val="none" w:sz="0" w:space="0" w:color="auto"/>
        <w:bottom w:val="none" w:sz="0" w:space="0" w:color="auto"/>
        <w:right w:val="none" w:sz="0" w:space="0" w:color="auto"/>
      </w:divBdr>
    </w:div>
    <w:div w:id="1459299408">
      <w:bodyDiv w:val="1"/>
      <w:marLeft w:val="0"/>
      <w:marRight w:val="0"/>
      <w:marTop w:val="0"/>
      <w:marBottom w:val="0"/>
      <w:divBdr>
        <w:top w:val="none" w:sz="0" w:space="0" w:color="auto"/>
        <w:left w:val="none" w:sz="0" w:space="0" w:color="auto"/>
        <w:bottom w:val="none" w:sz="0" w:space="0" w:color="auto"/>
        <w:right w:val="none" w:sz="0" w:space="0" w:color="auto"/>
      </w:divBdr>
    </w:div>
    <w:div w:id="1631671916">
      <w:bodyDiv w:val="1"/>
      <w:marLeft w:val="0"/>
      <w:marRight w:val="0"/>
      <w:marTop w:val="0"/>
      <w:marBottom w:val="0"/>
      <w:divBdr>
        <w:top w:val="none" w:sz="0" w:space="0" w:color="auto"/>
        <w:left w:val="none" w:sz="0" w:space="0" w:color="auto"/>
        <w:bottom w:val="none" w:sz="0" w:space="0" w:color="auto"/>
        <w:right w:val="none" w:sz="0" w:space="0" w:color="auto"/>
      </w:divBdr>
    </w:div>
    <w:div w:id="2042436690">
      <w:bodyDiv w:val="1"/>
      <w:marLeft w:val="0"/>
      <w:marRight w:val="0"/>
      <w:marTop w:val="0"/>
      <w:marBottom w:val="0"/>
      <w:divBdr>
        <w:top w:val="none" w:sz="0" w:space="0" w:color="auto"/>
        <w:left w:val="none" w:sz="0" w:space="0" w:color="auto"/>
        <w:bottom w:val="none" w:sz="0" w:space="0" w:color="auto"/>
        <w:right w:val="none" w:sz="0" w:space="0" w:color="auto"/>
      </w:divBdr>
    </w:div>
    <w:div w:id="2042778546">
      <w:bodyDiv w:val="1"/>
      <w:marLeft w:val="0"/>
      <w:marRight w:val="0"/>
      <w:marTop w:val="0"/>
      <w:marBottom w:val="0"/>
      <w:divBdr>
        <w:top w:val="none" w:sz="0" w:space="0" w:color="auto"/>
        <w:left w:val="none" w:sz="0" w:space="0" w:color="auto"/>
        <w:bottom w:val="none" w:sz="0" w:space="0" w:color="auto"/>
        <w:right w:val="none" w:sz="0" w:space="0" w:color="auto"/>
      </w:divBdr>
    </w:div>
    <w:div w:id="2094274827">
      <w:bodyDiv w:val="1"/>
      <w:marLeft w:val="0"/>
      <w:marRight w:val="0"/>
      <w:marTop w:val="0"/>
      <w:marBottom w:val="0"/>
      <w:divBdr>
        <w:top w:val="none" w:sz="0" w:space="0" w:color="auto"/>
        <w:left w:val="none" w:sz="0" w:space="0" w:color="auto"/>
        <w:bottom w:val="none" w:sz="0" w:space="0" w:color="auto"/>
        <w:right w:val="none" w:sz="0" w:space="0" w:color="auto"/>
      </w:divBdr>
    </w:div>
    <w:div w:id="21246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ia.govt.nz/Royal-Commission-into-Historical-Abuse-in-State-Ca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ntalhealth@inquiry.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internet.ohchr.org/layouts/treatybodyexternal" TargetMode="External"/><Relationship Id="rId5" Type="http://schemas.openxmlformats.org/officeDocument/2006/relationships/webSettings" Target="webSettings.xml"/><Relationship Id="rId15" Type="http://schemas.openxmlformats.org/officeDocument/2006/relationships/hyperlink" Target="http://tbinternet.ohchr.org/layouts/treatybodyexternal" TargetMode="External"/><Relationship Id="rId10" Type="http://schemas.openxmlformats.org/officeDocument/2006/relationships/hyperlink" Target="http://d3n8a8pro7vhmx.cloudfront.net/themes/57d0d9cab928718332000001/attachments/original/1511835165/Gvot_Report_2017_%281%29.docx?151183516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3n8a8pro7vhmx.cloudfront.net/themes/57d0d9cab928718332000001/attachments/original/1511835165/Gvot_Report_2017_%281%29.docx?151183516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6E91-C067-4206-B22C-ED2A5B92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6653</Words>
  <Characters>37926</Characters>
  <Application>Microsoft Office Word</Application>
  <DocSecurity>4</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School</dc:creator>
  <cp:lastModifiedBy>Bridget Holland</cp:lastModifiedBy>
  <cp:revision>2</cp:revision>
  <cp:lastPrinted>2018-06-01T00:24:00Z</cp:lastPrinted>
  <dcterms:created xsi:type="dcterms:W3CDTF">2018-06-11T23:37:00Z</dcterms:created>
  <dcterms:modified xsi:type="dcterms:W3CDTF">2018-06-11T23:37:00Z</dcterms:modified>
</cp:coreProperties>
</file>