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46" w:rsidRDefault="005B09CB" w:rsidP="005B09CB">
      <w:pPr>
        <w:spacing w:line="240" w:lineRule="auto"/>
        <w:rPr>
          <w:rFonts w:ascii="Times New Roman" w:hAnsi="Times New Roman" w:cs="Times New Roman"/>
          <w:b/>
          <w:sz w:val="24"/>
          <w:szCs w:val="24"/>
        </w:rPr>
      </w:pPr>
      <w:r>
        <w:rPr>
          <w:noProof/>
          <w:lang w:eastAsia="en-NZ"/>
        </w:rPr>
        <w:drawing>
          <wp:inline distT="0" distB="0" distL="0" distR="0" wp14:anchorId="76A4921C" wp14:editId="2286236D">
            <wp:extent cx="2381250" cy="438150"/>
            <wp:effectExtent l="0" t="0" r="0" b="0"/>
            <wp:docPr id="1" name="Picture 1" descr="cid:image003.png@01D12C1C.44C67BE0"/>
            <wp:cNvGraphicFramePr/>
            <a:graphic xmlns:a="http://schemas.openxmlformats.org/drawingml/2006/main">
              <a:graphicData uri="http://schemas.openxmlformats.org/drawingml/2006/picture">
                <pic:pic xmlns:pic="http://schemas.openxmlformats.org/drawingml/2006/picture">
                  <pic:nvPicPr>
                    <pic:cNvPr id="1" name="Picture 1" descr="cid:image003.png@01D12C1C.44C67BE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438150"/>
                    </a:xfrm>
                    <a:prstGeom prst="rect">
                      <a:avLst/>
                    </a:prstGeom>
                    <a:noFill/>
                    <a:ln>
                      <a:noFill/>
                    </a:ln>
                  </pic:spPr>
                </pic:pic>
              </a:graphicData>
            </a:graphic>
          </wp:inline>
        </w:drawing>
      </w:r>
      <w:bookmarkStart w:id="0" w:name="_GoBack"/>
      <w:bookmarkEnd w:id="0"/>
    </w:p>
    <w:p w:rsidR="00D70B46" w:rsidRDefault="00D70B46" w:rsidP="003A3064">
      <w:pPr>
        <w:spacing w:line="240" w:lineRule="auto"/>
        <w:jc w:val="center"/>
        <w:rPr>
          <w:rFonts w:ascii="Times New Roman" w:hAnsi="Times New Roman" w:cs="Times New Roman"/>
          <w:b/>
          <w:sz w:val="24"/>
          <w:szCs w:val="24"/>
        </w:rPr>
      </w:pPr>
    </w:p>
    <w:p w:rsidR="00452F60" w:rsidRDefault="006D53A1" w:rsidP="003A3064">
      <w:pPr>
        <w:spacing w:line="240" w:lineRule="auto"/>
        <w:jc w:val="center"/>
        <w:rPr>
          <w:rFonts w:ascii="Times New Roman" w:hAnsi="Times New Roman" w:cs="Times New Roman"/>
          <w:b/>
          <w:sz w:val="24"/>
          <w:szCs w:val="24"/>
        </w:rPr>
      </w:pPr>
      <w:r w:rsidRPr="00540D10">
        <w:rPr>
          <w:rFonts w:ascii="Times New Roman" w:hAnsi="Times New Roman" w:cs="Times New Roman"/>
          <w:b/>
          <w:sz w:val="24"/>
          <w:szCs w:val="24"/>
        </w:rPr>
        <w:t xml:space="preserve">HUMAN RIGHTS </w:t>
      </w:r>
      <w:r w:rsidR="00452F60">
        <w:rPr>
          <w:rFonts w:ascii="Times New Roman" w:hAnsi="Times New Roman" w:cs="Times New Roman"/>
          <w:b/>
          <w:sz w:val="24"/>
          <w:szCs w:val="24"/>
        </w:rPr>
        <w:t>CENTRE FOR LAW, POLICY &amp; PRACTICE</w:t>
      </w:r>
    </w:p>
    <w:p w:rsidR="000C7282" w:rsidRDefault="000C7282" w:rsidP="003A306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 March 2019</w:t>
      </w:r>
    </w:p>
    <w:p w:rsidR="000C7282" w:rsidRDefault="000C7282" w:rsidP="003A3064">
      <w:pPr>
        <w:spacing w:line="240" w:lineRule="auto"/>
        <w:jc w:val="center"/>
        <w:rPr>
          <w:rFonts w:ascii="Times New Roman" w:hAnsi="Times New Roman" w:cs="Times New Roman"/>
          <w:b/>
          <w:sz w:val="24"/>
          <w:szCs w:val="24"/>
        </w:rPr>
      </w:pPr>
    </w:p>
    <w:p w:rsidR="000C7282" w:rsidRPr="000C7282" w:rsidRDefault="000C7282" w:rsidP="00FE294D">
      <w:pPr>
        <w:spacing w:line="240" w:lineRule="auto"/>
        <w:jc w:val="both"/>
        <w:rPr>
          <w:rFonts w:ascii="Times New Roman" w:hAnsi="Times New Roman" w:cs="Times New Roman"/>
        </w:rPr>
      </w:pPr>
      <w:r w:rsidRPr="000C7282">
        <w:rPr>
          <w:rFonts w:ascii="Times New Roman" w:hAnsi="Times New Roman" w:cs="Times New Roman"/>
        </w:rPr>
        <w:t>National update: policy and legislation ……………………………………………………………</w:t>
      </w:r>
      <w:r w:rsidR="0009432E">
        <w:rPr>
          <w:rFonts w:ascii="Times New Roman" w:hAnsi="Times New Roman" w:cs="Times New Roman"/>
        </w:rPr>
        <w:t>…</w:t>
      </w:r>
      <w:r w:rsidRPr="000C7282">
        <w:rPr>
          <w:rFonts w:ascii="Times New Roman" w:hAnsi="Times New Roman" w:cs="Times New Roman"/>
        </w:rPr>
        <w:t xml:space="preserve"> 1</w:t>
      </w:r>
    </w:p>
    <w:p w:rsidR="000C7282" w:rsidRPr="000C7282" w:rsidRDefault="000C7282" w:rsidP="00FE294D">
      <w:pPr>
        <w:spacing w:line="240" w:lineRule="auto"/>
        <w:jc w:val="both"/>
        <w:rPr>
          <w:rFonts w:ascii="Times New Roman" w:hAnsi="Times New Roman" w:cs="Times New Roman"/>
        </w:rPr>
      </w:pPr>
      <w:r w:rsidRPr="000C7282">
        <w:rPr>
          <w:rFonts w:ascii="Times New Roman" w:hAnsi="Times New Roman" w:cs="Times New Roman"/>
        </w:rPr>
        <w:t>International update ………………………………………………………………………………….</w:t>
      </w:r>
      <w:r w:rsidR="0009432E">
        <w:rPr>
          <w:rFonts w:ascii="Times New Roman" w:hAnsi="Times New Roman" w:cs="Times New Roman"/>
        </w:rPr>
        <w:t>. 2</w:t>
      </w:r>
    </w:p>
    <w:p w:rsidR="000C7282" w:rsidRDefault="000C7282" w:rsidP="00FE294D">
      <w:pPr>
        <w:spacing w:line="240" w:lineRule="auto"/>
        <w:jc w:val="both"/>
        <w:rPr>
          <w:rFonts w:ascii="Times New Roman" w:hAnsi="Times New Roman" w:cs="Times New Roman"/>
          <w:b/>
        </w:rPr>
      </w:pPr>
      <w:r w:rsidRPr="000C7282">
        <w:rPr>
          <w:rFonts w:ascii="Times New Roman" w:hAnsi="Times New Roman" w:cs="Times New Roman"/>
        </w:rPr>
        <w:t>Recent cases …………………………………………………………………………………………</w:t>
      </w:r>
      <w:r w:rsidR="0009432E">
        <w:rPr>
          <w:rFonts w:ascii="Times New Roman" w:hAnsi="Times New Roman" w:cs="Times New Roman"/>
        </w:rPr>
        <w:t>.. 3</w:t>
      </w:r>
    </w:p>
    <w:p w:rsidR="000C7282" w:rsidRDefault="000C7282" w:rsidP="00FE294D">
      <w:pPr>
        <w:spacing w:line="240" w:lineRule="auto"/>
        <w:jc w:val="both"/>
        <w:rPr>
          <w:rFonts w:ascii="Times New Roman" w:hAnsi="Times New Roman" w:cs="Times New Roman"/>
          <w:b/>
        </w:rPr>
      </w:pPr>
    </w:p>
    <w:p w:rsidR="000C7282" w:rsidRPr="00180B19" w:rsidRDefault="00540D10" w:rsidP="000C7282">
      <w:pPr>
        <w:spacing w:line="240" w:lineRule="auto"/>
        <w:jc w:val="center"/>
        <w:rPr>
          <w:rFonts w:ascii="Times New Roman" w:hAnsi="Times New Roman" w:cs="Times New Roman"/>
          <w:b/>
          <w:sz w:val="24"/>
          <w:szCs w:val="24"/>
        </w:rPr>
      </w:pPr>
      <w:r w:rsidRPr="00180B19">
        <w:rPr>
          <w:rFonts w:ascii="Times New Roman" w:hAnsi="Times New Roman" w:cs="Times New Roman"/>
          <w:b/>
          <w:sz w:val="24"/>
          <w:szCs w:val="24"/>
        </w:rPr>
        <w:t>NATIONAL UPDATE:</w:t>
      </w:r>
    </w:p>
    <w:p w:rsidR="006D53A1" w:rsidRPr="00180B19" w:rsidRDefault="00540D10" w:rsidP="000C7282">
      <w:pPr>
        <w:spacing w:line="240" w:lineRule="auto"/>
        <w:jc w:val="center"/>
        <w:rPr>
          <w:rFonts w:ascii="Times New Roman" w:hAnsi="Times New Roman" w:cs="Times New Roman"/>
          <w:b/>
          <w:sz w:val="24"/>
          <w:szCs w:val="24"/>
        </w:rPr>
      </w:pPr>
      <w:r w:rsidRPr="00180B19">
        <w:rPr>
          <w:rFonts w:ascii="Times New Roman" w:hAnsi="Times New Roman" w:cs="Times New Roman"/>
          <w:b/>
          <w:sz w:val="24"/>
          <w:szCs w:val="24"/>
        </w:rPr>
        <w:t>POLICY AND LEGISLATION</w:t>
      </w:r>
    </w:p>
    <w:p w:rsidR="000C7282" w:rsidRDefault="000C7282" w:rsidP="000C7282">
      <w:pPr>
        <w:spacing w:line="240" w:lineRule="auto"/>
        <w:jc w:val="center"/>
        <w:rPr>
          <w:rFonts w:ascii="Times New Roman" w:hAnsi="Times New Roman" w:cs="Times New Roman"/>
          <w:b/>
        </w:rPr>
      </w:pPr>
    </w:p>
    <w:p w:rsidR="00AF08CB" w:rsidRDefault="00D70B46" w:rsidP="00FE294D">
      <w:pPr>
        <w:spacing w:after="0" w:line="240" w:lineRule="auto"/>
        <w:jc w:val="both"/>
        <w:rPr>
          <w:rFonts w:ascii="Times New Roman" w:hAnsi="Times New Roman" w:cs="Times New Roman"/>
        </w:rPr>
      </w:pPr>
      <w:r>
        <w:rPr>
          <w:rFonts w:ascii="Times New Roman" w:hAnsi="Times New Roman" w:cs="Times New Roman"/>
        </w:rPr>
        <w:t>A</w:t>
      </w:r>
      <w:r w:rsidR="00737ACC">
        <w:rPr>
          <w:rFonts w:ascii="Times New Roman" w:hAnsi="Times New Roman" w:cs="Times New Roman"/>
        </w:rPr>
        <w:t>n</w:t>
      </w:r>
      <w:r w:rsidR="00B60E9E">
        <w:rPr>
          <w:rFonts w:ascii="Times New Roman" w:hAnsi="Times New Roman" w:cs="Times New Roman"/>
        </w:rPr>
        <w:t xml:space="preserve"> </w:t>
      </w:r>
      <w:r w:rsidR="00AF08CB" w:rsidRPr="00B60E9E">
        <w:rPr>
          <w:rFonts w:ascii="Times New Roman" w:hAnsi="Times New Roman" w:cs="Times New Roman"/>
          <w:b/>
        </w:rPr>
        <w:t>Equal Pay Amendment Bill</w:t>
      </w:r>
      <w:r w:rsidR="00AF08CB" w:rsidRPr="00B60E9E">
        <w:rPr>
          <w:rFonts w:ascii="Times New Roman" w:hAnsi="Times New Roman" w:cs="Times New Roman"/>
        </w:rPr>
        <w:t xml:space="preserve"> </w:t>
      </w:r>
      <w:r>
        <w:rPr>
          <w:rFonts w:ascii="Times New Roman" w:hAnsi="Times New Roman" w:cs="Times New Roman"/>
        </w:rPr>
        <w:t xml:space="preserve">was introduced </w:t>
      </w:r>
      <w:r w:rsidR="00B60E9E" w:rsidRPr="00B60E9E">
        <w:rPr>
          <w:rFonts w:ascii="Times New Roman" w:hAnsi="Times New Roman" w:cs="Times New Roman"/>
        </w:rPr>
        <w:t>as part of the celebrations</w:t>
      </w:r>
      <w:r w:rsidR="00B60E9E">
        <w:rPr>
          <w:rFonts w:ascii="Times New Roman" w:hAnsi="Times New Roman" w:cs="Times New Roman"/>
        </w:rPr>
        <w:t xml:space="preserve"> of 125 years of women’s suffrage. The Bill’s </w:t>
      </w:r>
      <w:r w:rsidR="000C7282">
        <w:rPr>
          <w:rFonts w:ascii="Times New Roman" w:hAnsi="Times New Roman" w:cs="Times New Roman"/>
        </w:rPr>
        <w:t>main</w:t>
      </w:r>
      <w:r w:rsidR="00B60E9E">
        <w:rPr>
          <w:rFonts w:ascii="Times New Roman" w:hAnsi="Times New Roman" w:cs="Times New Roman"/>
        </w:rPr>
        <w:t xml:space="preserve"> </w:t>
      </w:r>
      <w:r w:rsidR="000C7282">
        <w:rPr>
          <w:rFonts w:ascii="Times New Roman" w:hAnsi="Times New Roman" w:cs="Times New Roman"/>
        </w:rPr>
        <w:t>aim</w:t>
      </w:r>
      <w:r w:rsidR="00B60E9E">
        <w:rPr>
          <w:rFonts w:ascii="Times New Roman" w:hAnsi="Times New Roman" w:cs="Times New Roman"/>
        </w:rPr>
        <w:t xml:space="preserve"> is to eliminate </w:t>
      </w:r>
      <w:r w:rsidR="009C68AD">
        <w:rPr>
          <w:rFonts w:ascii="Times New Roman" w:hAnsi="Times New Roman" w:cs="Times New Roman"/>
        </w:rPr>
        <w:t>a</w:t>
      </w:r>
      <w:r w:rsidR="00B60E9E">
        <w:rPr>
          <w:rFonts w:ascii="Times New Roman" w:hAnsi="Times New Roman" w:cs="Times New Roman"/>
        </w:rPr>
        <w:t>nd prev</w:t>
      </w:r>
      <w:r w:rsidR="009C68AD">
        <w:rPr>
          <w:rFonts w:ascii="Times New Roman" w:hAnsi="Times New Roman" w:cs="Times New Roman"/>
        </w:rPr>
        <w:t>e</w:t>
      </w:r>
      <w:r w:rsidR="00B60E9E">
        <w:rPr>
          <w:rFonts w:ascii="Times New Roman" w:hAnsi="Times New Roman" w:cs="Times New Roman"/>
        </w:rPr>
        <w:t>nt sex discrimin</w:t>
      </w:r>
      <w:r w:rsidR="009C68AD">
        <w:rPr>
          <w:rFonts w:ascii="Times New Roman" w:hAnsi="Times New Roman" w:cs="Times New Roman"/>
        </w:rPr>
        <w:t>a</w:t>
      </w:r>
      <w:r w:rsidR="00B60E9E">
        <w:rPr>
          <w:rFonts w:ascii="Times New Roman" w:hAnsi="Times New Roman" w:cs="Times New Roman"/>
        </w:rPr>
        <w:t>tion in female dominated jobs</w:t>
      </w:r>
      <w:r w:rsidR="00540D10">
        <w:rPr>
          <w:rFonts w:ascii="Times New Roman" w:hAnsi="Times New Roman" w:cs="Times New Roman"/>
        </w:rPr>
        <w:t xml:space="preserve"> and</w:t>
      </w:r>
      <w:r w:rsidR="00AF08CB" w:rsidRPr="00B60E9E">
        <w:rPr>
          <w:rFonts w:ascii="Times New Roman" w:hAnsi="Times New Roman" w:cs="Times New Roman"/>
        </w:rPr>
        <w:t xml:space="preserve"> make it easier for workers to make a pay equity claim using a more simple and accessible process in New Zealand’s existing bargaining framework</w:t>
      </w:r>
      <w:r w:rsidR="00B60E9E" w:rsidRPr="00B60E9E">
        <w:rPr>
          <w:rFonts w:ascii="Times New Roman" w:hAnsi="Times New Roman" w:cs="Times New Roman"/>
        </w:rPr>
        <w:t>.</w:t>
      </w:r>
      <w:r w:rsidR="00540D10">
        <w:rPr>
          <w:rFonts w:ascii="Times New Roman" w:hAnsi="Times New Roman" w:cs="Times New Roman"/>
        </w:rPr>
        <w:t xml:space="preserve"> The Bill reflects the recommendations of the Reconvened Joint Working Group of Pay Equity Principles appointed by the Minister of Workplace Relations and Safety and Minister of Women after the election to advise on an earlier piece of legislation </w:t>
      </w:r>
      <w:r w:rsidR="000C7282">
        <w:rPr>
          <w:rFonts w:ascii="Times New Roman" w:hAnsi="Times New Roman" w:cs="Times New Roman"/>
        </w:rPr>
        <w:t xml:space="preserve">which had been </w:t>
      </w:r>
      <w:r w:rsidR="00540D10">
        <w:rPr>
          <w:rFonts w:ascii="Times New Roman" w:hAnsi="Times New Roman" w:cs="Times New Roman"/>
        </w:rPr>
        <w:t xml:space="preserve">introduced by the previous government. The </w:t>
      </w:r>
      <w:r w:rsidR="00A0268B">
        <w:rPr>
          <w:rFonts w:ascii="Times New Roman" w:hAnsi="Times New Roman" w:cs="Times New Roman"/>
        </w:rPr>
        <w:t>Education and Workforce Committee</w:t>
      </w:r>
      <w:r>
        <w:rPr>
          <w:rFonts w:ascii="Times New Roman" w:hAnsi="Times New Roman" w:cs="Times New Roman"/>
        </w:rPr>
        <w:t xml:space="preserve"> is due to report </w:t>
      </w:r>
      <w:r w:rsidR="000C7282">
        <w:rPr>
          <w:rFonts w:ascii="Times New Roman" w:hAnsi="Times New Roman" w:cs="Times New Roman"/>
        </w:rPr>
        <w:t xml:space="preserve">back on the Bill </w:t>
      </w:r>
      <w:r>
        <w:rPr>
          <w:rFonts w:ascii="Times New Roman" w:hAnsi="Times New Roman" w:cs="Times New Roman"/>
        </w:rPr>
        <w:t xml:space="preserve">in April.  </w:t>
      </w:r>
      <w:r w:rsidR="00A81841">
        <w:rPr>
          <w:rFonts w:ascii="Times New Roman" w:hAnsi="Times New Roman" w:cs="Times New Roman"/>
        </w:rPr>
        <w:t xml:space="preserve"> </w:t>
      </w:r>
    </w:p>
    <w:p w:rsidR="00AE6B0C" w:rsidRDefault="00AE6B0C" w:rsidP="00FE294D">
      <w:pPr>
        <w:spacing w:after="0" w:line="240" w:lineRule="auto"/>
        <w:jc w:val="both"/>
      </w:pPr>
    </w:p>
    <w:p w:rsidR="00390197" w:rsidRPr="00E74094" w:rsidRDefault="00AF08CB" w:rsidP="00055278">
      <w:pPr>
        <w:jc w:val="both"/>
        <w:rPr>
          <w:rFonts w:ascii="Times New Roman" w:eastAsia="Times New Roman" w:hAnsi="Times New Roman" w:cs="Times New Roman"/>
          <w:lang w:eastAsia="en-NZ"/>
        </w:rPr>
      </w:pPr>
      <w:r w:rsidRPr="00AF08CB">
        <w:rPr>
          <w:rFonts w:ascii="Times New Roman" w:eastAsia="Times New Roman" w:hAnsi="Times New Roman" w:cs="Times New Roman"/>
          <w:lang w:eastAsia="en-NZ"/>
        </w:rPr>
        <w:t>The</w:t>
      </w:r>
      <w:r>
        <w:rPr>
          <w:rFonts w:ascii="Times New Roman" w:eastAsia="Times New Roman" w:hAnsi="Times New Roman" w:cs="Times New Roman"/>
          <w:b/>
          <w:lang w:eastAsia="en-NZ"/>
        </w:rPr>
        <w:t xml:space="preserve"> </w:t>
      </w:r>
      <w:r w:rsidR="00657D99" w:rsidRPr="00657D99">
        <w:rPr>
          <w:rFonts w:ascii="Times New Roman" w:eastAsia="Times New Roman" w:hAnsi="Times New Roman" w:cs="Times New Roman"/>
          <w:b/>
          <w:lang w:eastAsia="en-NZ"/>
        </w:rPr>
        <w:t>Employment Relations Amendment Bill</w:t>
      </w:r>
      <w:r w:rsidR="00390197" w:rsidRPr="00390197">
        <w:rPr>
          <w:rFonts w:ascii="Times New Roman" w:eastAsia="Times New Roman" w:hAnsi="Times New Roman" w:cs="Times New Roman"/>
          <w:lang w:eastAsia="en-NZ"/>
        </w:rPr>
        <w:t xml:space="preserve"> </w:t>
      </w:r>
      <w:r w:rsidR="003D4AD7" w:rsidRPr="00055278">
        <w:rPr>
          <w:rFonts w:ascii="Times New Roman" w:hAnsi="Times New Roman" w:cs="Times New Roman"/>
        </w:rPr>
        <w:t>passed its third and final reading on 5 December 2018</w:t>
      </w:r>
      <w:r w:rsidR="00390197" w:rsidRPr="00390197">
        <w:rPr>
          <w:rFonts w:ascii="Times New Roman" w:eastAsia="Times New Roman" w:hAnsi="Times New Roman" w:cs="Times New Roman"/>
          <w:lang w:eastAsia="en-NZ"/>
        </w:rPr>
        <w:t>. It make</w:t>
      </w:r>
      <w:r w:rsidR="00D70B46">
        <w:rPr>
          <w:rFonts w:ascii="Times New Roman" w:eastAsia="Times New Roman" w:hAnsi="Times New Roman" w:cs="Times New Roman"/>
          <w:lang w:eastAsia="en-NZ"/>
        </w:rPr>
        <w:t>s</w:t>
      </w:r>
      <w:r w:rsidR="00390197" w:rsidRPr="00390197">
        <w:rPr>
          <w:rFonts w:ascii="Times New Roman" w:eastAsia="Times New Roman" w:hAnsi="Times New Roman" w:cs="Times New Roman"/>
          <w:lang w:eastAsia="en-NZ"/>
        </w:rPr>
        <w:t xml:space="preserve"> changes to</w:t>
      </w:r>
      <w:r w:rsidR="00390197">
        <w:rPr>
          <w:rFonts w:ascii="Times New Roman" w:eastAsia="Times New Roman" w:hAnsi="Times New Roman" w:cs="Times New Roman"/>
          <w:lang w:eastAsia="en-NZ"/>
        </w:rPr>
        <w:t xml:space="preserve"> </w:t>
      </w:r>
      <w:r w:rsidR="00390197" w:rsidRPr="00390197">
        <w:rPr>
          <w:rFonts w:ascii="Times New Roman" w:eastAsia="Times New Roman" w:hAnsi="Times New Roman" w:cs="Times New Roman"/>
          <w:lang w:eastAsia="en-NZ"/>
        </w:rPr>
        <w:t>collective bargaining and union rights in the workplace</w:t>
      </w:r>
      <w:r w:rsidR="00055278">
        <w:rPr>
          <w:rFonts w:ascii="Times New Roman" w:eastAsia="Times New Roman" w:hAnsi="Times New Roman" w:cs="Times New Roman"/>
          <w:lang w:eastAsia="en-NZ"/>
        </w:rPr>
        <w:t xml:space="preserve"> </w:t>
      </w:r>
      <w:r w:rsidR="003D4AD7">
        <w:rPr>
          <w:rFonts w:ascii="Times New Roman" w:eastAsia="Times New Roman" w:hAnsi="Times New Roman" w:cs="Times New Roman"/>
          <w:lang w:eastAsia="en-NZ"/>
        </w:rPr>
        <w:t>as a way of</w:t>
      </w:r>
      <w:r w:rsidR="00055278">
        <w:rPr>
          <w:rFonts w:ascii="Times New Roman" w:eastAsia="Times New Roman" w:hAnsi="Times New Roman" w:cs="Times New Roman"/>
          <w:lang w:eastAsia="en-NZ"/>
        </w:rPr>
        <w:t xml:space="preserve"> </w:t>
      </w:r>
      <w:r w:rsidR="00390197" w:rsidRPr="00390197">
        <w:rPr>
          <w:rFonts w:ascii="Times New Roman" w:eastAsia="Times New Roman" w:hAnsi="Times New Roman" w:cs="Times New Roman"/>
          <w:lang w:eastAsia="en-NZ"/>
        </w:rPr>
        <w:t>increas</w:t>
      </w:r>
      <w:r w:rsidR="003D4AD7">
        <w:rPr>
          <w:rFonts w:ascii="Times New Roman" w:eastAsia="Times New Roman" w:hAnsi="Times New Roman" w:cs="Times New Roman"/>
          <w:lang w:eastAsia="en-NZ"/>
        </w:rPr>
        <w:t>ing</w:t>
      </w:r>
      <w:r w:rsidR="00390197" w:rsidRPr="00390197">
        <w:rPr>
          <w:rFonts w:ascii="Times New Roman" w:eastAsia="Times New Roman" w:hAnsi="Times New Roman" w:cs="Times New Roman"/>
          <w:lang w:eastAsia="en-NZ"/>
        </w:rPr>
        <w:t xml:space="preserve"> fairness between employees and employers </w:t>
      </w:r>
      <w:r w:rsidR="00D70B46">
        <w:rPr>
          <w:rFonts w:ascii="Times New Roman" w:eastAsia="Times New Roman" w:hAnsi="Times New Roman" w:cs="Times New Roman"/>
          <w:lang w:eastAsia="en-NZ"/>
        </w:rPr>
        <w:t>and</w:t>
      </w:r>
      <w:r w:rsidR="00390197" w:rsidRPr="00390197">
        <w:rPr>
          <w:rFonts w:ascii="Times New Roman" w:eastAsia="Times New Roman" w:hAnsi="Times New Roman" w:cs="Times New Roman"/>
          <w:lang w:eastAsia="en-NZ"/>
        </w:rPr>
        <w:t xml:space="preserve"> pro</w:t>
      </w:r>
      <w:r w:rsidR="00390197">
        <w:rPr>
          <w:rFonts w:ascii="Times New Roman" w:eastAsia="Times New Roman" w:hAnsi="Times New Roman" w:cs="Times New Roman"/>
          <w:lang w:eastAsia="en-NZ"/>
        </w:rPr>
        <w:t>mot</w:t>
      </w:r>
      <w:r w:rsidR="003D4AD7">
        <w:rPr>
          <w:rFonts w:ascii="Times New Roman" w:eastAsia="Times New Roman" w:hAnsi="Times New Roman" w:cs="Times New Roman"/>
          <w:lang w:eastAsia="en-NZ"/>
        </w:rPr>
        <w:t>ing</w:t>
      </w:r>
      <w:r w:rsidR="00390197">
        <w:rPr>
          <w:rFonts w:ascii="Times New Roman" w:eastAsia="Times New Roman" w:hAnsi="Times New Roman" w:cs="Times New Roman"/>
          <w:lang w:eastAsia="en-NZ"/>
        </w:rPr>
        <w:t xml:space="preserve"> productive employmen</w:t>
      </w:r>
      <w:r w:rsidR="00657D99">
        <w:rPr>
          <w:rFonts w:ascii="Times New Roman" w:eastAsia="Times New Roman" w:hAnsi="Times New Roman" w:cs="Times New Roman"/>
          <w:lang w:eastAsia="en-NZ"/>
        </w:rPr>
        <w:t>t</w:t>
      </w:r>
      <w:r w:rsidR="00390197">
        <w:rPr>
          <w:rFonts w:ascii="Times New Roman" w:eastAsia="Times New Roman" w:hAnsi="Times New Roman" w:cs="Times New Roman"/>
          <w:lang w:eastAsia="en-NZ"/>
        </w:rPr>
        <w:t xml:space="preserve"> relationships</w:t>
      </w:r>
      <w:r w:rsidR="00657D99">
        <w:rPr>
          <w:rFonts w:ascii="Times New Roman" w:eastAsia="Times New Roman" w:hAnsi="Times New Roman" w:cs="Times New Roman"/>
          <w:lang w:eastAsia="en-NZ"/>
        </w:rPr>
        <w:t>.</w:t>
      </w:r>
      <w:r w:rsidR="00055278" w:rsidRPr="00055278">
        <w:t xml:space="preserve"> </w:t>
      </w:r>
      <w:r w:rsidR="003D4AD7" w:rsidRPr="003D4AD7">
        <w:rPr>
          <w:rFonts w:ascii="Times New Roman" w:hAnsi="Times New Roman" w:cs="Times New Roman"/>
        </w:rPr>
        <w:t>The</w:t>
      </w:r>
      <w:r w:rsidR="00055278" w:rsidRPr="00055278">
        <w:rPr>
          <w:rFonts w:ascii="Times New Roman" w:hAnsi="Times New Roman" w:cs="Times New Roman"/>
        </w:rPr>
        <w:t xml:space="preserve"> changes take effect in two stages: the first </w:t>
      </w:r>
      <w:r w:rsidR="003D4AD7">
        <w:rPr>
          <w:rFonts w:ascii="Times New Roman" w:hAnsi="Times New Roman" w:cs="Times New Roman"/>
        </w:rPr>
        <w:t>on</w:t>
      </w:r>
      <w:r w:rsidR="00055278" w:rsidRPr="00055278">
        <w:rPr>
          <w:rFonts w:ascii="Times New Roman" w:hAnsi="Times New Roman" w:cs="Times New Roman"/>
        </w:rPr>
        <w:t xml:space="preserve"> the day after </w:t>
      </w:r>
      <w:r w:rsidR="003D4AD7">
        <w:rPr>
          <w:rFonts w:ascii="Times New Roman" w:hAnsi="Times New Roman" w:cs="Times New Roman"/>
        </w:rPr>
        <w:t xml:space="preserve">the Bill receives the </w:t>
      </w:r>
      <w:r w:rsidR="00055278" w:rsidRPr="00055278">
        <w:rPr>
          <w:rFonts w:ascii="Times New Roman" w:hAnsi="Times New Roman" w:cs="Times New Roman"/>
        </w:rPr>
        <w:t xml:space="preserve">royal assent and the second </w:t>
      </w:r>
      <w:r w:rsidR="00055278">
        <w:rPr>
          <w:rFonts w:ascii="Times New Roman" w:eastAsia="Times New Roman" w:hAnsi="Times New Roman" w:cs="Times New Roman"/>
          <w:lang w:eastAsia="en-NZ"/>
        </w:rPr>
        <w:t xml:space="preserve">which reflect extensive canvassing by employers </w:t>
      </w:r>
      <w:r w:rsidR="00055278" w:rsidRPr="0053782F">
        <w:rPr>
          <w:rFonts w:ascii="Times New Roman" w:eastAsia="Times New Roman" w:hAnsi="Times New Roman" w:cs="Times New Roman"/>
          <w:lang w:eastAsia="en-NZ"/>
        </w:rPr>
        <w:t>relat</w:t>
      </w:r>
      <w:r w:rsidR="00055278">
        <w:rPr>
          <w:rFonts w:ascii="Times New Roman" w:eastAsia="Times New Roman" w:hAnsi="Times New Roman" w:cs="Times New Roman"/>
          <w:lang w:eastAsia="en-NZ"/>
        </w:rPr>
        <w:t>ing</w:t>
      </w:r>
      <w:r w:rsidR="00055278" w:rsidRPr="0053782F">
        <w:rPr>
          <w:rFonts w:ascii="Times New Roman" w:eastAsia="Times New Roman" w:hAnsi="Times New Roman" w:cs="Times New Roman"/>
          <w:lang w:eastAsia="en-NZ"/>
        </w:rPr>
        <w:t xml:space="preserve"> to employers’</w:t>
      </w:r>
      <w:r w:rsidR="00055278" w:rsidRPr="00E74094">
        <w:rPr>
          <w:rFonts w:ascii="Times New Roman" w:eastAsia="Times New Roman" w:hAnsi="Times New Roman" w:cs="Times New Roman"/>
          <w:lang w:eastAsia="en-NZ"/>
        </w:rPr>
        <w:t xml:space="preserve"> </w:t>
      </w:r>
      <w:r w:rsidR="00055278" w:rsidRPr="0053782F">
        <w:rPr>
          <w:rFonts w:ascii="Times New Roman" w:eastAsia="Times New Roman" w:hAnsi="Times New Roman" w:cs="Times New Roman"/>
          <w:lang w:eastAsia="en-NZ"/>
        </w:rPr>
        <w:t>obligations to new and prospective employees who are not union members</w:t>
      </w:r>
      <w:r w:rsidR="00D73056">
        <w:rPr>
          <w:rFonts w:ascii="Times New Roman" w:eastAsia="Times New Roman" w:hAnsi="Times New Roman" w:cs="Times New Roman"/>
          <w:lang w:eastAsia="en-NZ"/>
        </w:rPr>
        <w:t>,</w:t>
      </w:r>
      <w:r w:rsidR="00055278" w:rsidRPr="0053782F">
        <w:rPr>
          <w:rFonts w:ascii="Times New Roman" w:eastAsia="Times New Roman" w:hAnsi="Times New Roman" w:cs="Times New Roman"/>
          <w:lang w:eastAsia="en-NZ"/>
        </w:rPr>
        <w:t xml:space="preserve"> </w:t>
      </w:r>
      <w:r w:rsidR="00055278" w:rsidRPr="00055278">
        <w:rPr>
          <w:rFonts w:ascii="Times New Roman" w:hAnsi="Times New Roman" w:cs="Times New Roman"/>
        </w:rPr>
        <w:t>on 6 May 2019. </w:t>
      </w:r>
      <w:r w:rsidR="0053782F" w:rsidRPr="00E74094">
        <w:rPr>
          <w:rFonts w:ascii="Times New Roman" w:eastAsia="Times New Roman" w:hAnsi="Times New Roman" w:cs="Times New Roman"/>
          <w:lang w:eastAsia="en-NZ"/>
        </w:rPr>
        <w:t xml:space="preserve"> </w:t>
      </w:r>
      <w:r w:rsidR="00E74094">
        <w:rPr>
          <w:rFonts w:ascii="Times New Roman" w:eastAsia="Times New Roman" w:hAnsi="Times New Roman" w:cs="Times New Roman"/>
          <w:lang w:eastAsia="en-NZ"/>
        </w:rPr>
        <w:t xml:space="preserve">For further on the changes see </w:t>
      </w:r>
      <w:hyperlink r:id="rId9" w:history="1">
        <w:r w:rsidR="00055278" w:rsidRPr="0056015A">
          <w:rPr>
            <w:rStyle w:val="Hyperlink"/>
            <w:rFonts w:ascii="Times New Roman" w:hAnsi="Times New Roman" w:cs="Times New Roman"/>
          </w:rPr>
          <w:t>www.parliament.nz/.../bills...laws/bills.../52PLLaw25711/employment-relations-amendment.</w:t>
        </w:r>
      </w:hyperlink>
    </w:p>
    <w:p w:rsidR="00D70B46" w:rsidRPr="00D70B46" w:rsidRDefault="00D70B46" w:rsidP="00D70B46">
      <w:pPr>
        <w:spacing w:line="240" w:lineRule="auto"/>
        <w:jc w:val="both"/>
        <w:rPr>
          <w:rFonts w:ascii="Times New Roman" w:hAnsi="Times New Roman" w:cs="Times New Roman"/>
          <w:b/>
        </w:rPr>
      </w:pPr>
      <w:r w:rsidRPr="00D70B46">
        <w:rPr>
          <w:rFonts w:ascii="Times New Roman" w:hAnsi="Times New Roman" w:cs="Times New Roman"/>
        </w:rPr>
        <w:t xml:space="preserve">An amended </w:t>
      </w:r>
      <w:r w:rsidRPr="00D70B46">
        <w:rPr>
          <w:rFonts w:ascii="Times New Roman" w:hAnsi="Times New Roman" w:cs="Times New Roman"/>
          <w:b/>
        </w:rPr>
        <w:t xml:space="preserve">Privacy Bill </w:t>
      </w:r>
      <w:r w:rsidRPr="00D70B46">
        <w:rPr>
          <w:rFonts w:ascii="Times New Roman" w:hAnsi="Times New Roman" w:cs="Times New Roman"/>
        </w:rPr>
        <w:t xml:space="preserve">was introduced </w:t>
      </w:r>
      <w:r w:rsidR="00FE1349">
        <w:rPr>
          <w:rFonts w:ascii="Times New Roman" w:hAnsi="Times New Roman" w:cs="Times New Roman"/>
        </w:rPr>
        <w:t>i</w:t>
      </w:r>
      <w:r w:rsidRPr="00D70B46">
        <w:rPr>
          <w:rFonts w:ascii="Times New Roman" w:hAnsi="Times New Roman" w:cs="Times New Roman"/>
        </w:rPr>
        <w:t xml:space="preserve">n March </w:t>
      </w:r>
      <w:r w:rsidR="00FE1349">
        <w:rPr>
          <w:rFonts w:ascii="Times New Roman" w:hAnsi="Times New Roman" w:cs="Times New Roman"/>
        </w:rPr>
        <w:t>last year and</w:t>
      </w:r>
      <w:r w:rsidRPr="00D70B46">
        <w:rPr>
          <w:rFonts w:ascii="Times New Roman" w:hAnsi="Times New Roman" w:cs="Times New Roman"/>
        </w:rPr>
        <w:t xml:space="preserve"> referred to </w:t>
      </w:r>
      <w:r w:rsidR="00FE1349">
        <w:rPr>
          <w:rFonts w:ascii="Times New Roman" w:hAnsi="Times New Roman" w:cs="Times New Roman"/>
        </w:rPr>
        <w:t xml:space="preserve">the </w:t>
      </w:r>
      <w:r w:rsidRPr="00D70B46">
        <w:rPr>
          <w:rFonts w:ascii="Times New Roman" w:hAnsi="Times New Roman" w:cs="Times New Roman"/>
        </w:rPr>
        <w:t xml:space="preserve">Justice Committee. The Committee’s report is due </w:t>
      </w:r>
      <w:r w:rsidR="00FE1349">
        <w:rPr>
          <w:rFonts w:ascii="Times New Roman" w:hAnsi="Times New Roman" w:cs="Times New Roman"/>
        </w:rPr>
        <w:t>in March</w:t>
      </w:r>
      <w:r w:rsidR="003D4AD7">
        <w:rPr>
          <w:rFonts w:ascii="Times New Roman" w:hAnsi="Times New Roman" w:cs="Times New Roman"/>
        </w:rPr>
        <w:t xml:space="preserve"> this year</w:t>
      </w:r>
      <w:r w:rsidRPr="00D70B46">
        <w:rPr>
          <w:rFonts w:ascii="Times New Roman" w:hAnsi="Times New Roman" w:cs="Times New Roman"/>
        </w:rPr>
        <w:t>.</w:t>
      </w:r>
      <w:r w:rsidRPr="00D70B46">
        <w:rPr>
          <w:rFonts w:ascii="Times New Roman" w:hAnsi="Times New Roman" w:cs="Times New Roman"/>
          <w:b/>
        </w:rPr>
        <w:t xml:space="preserve"> </w:t>
      </w:r>
      <w:r w:rsidRPr="00D70B46">
        <w:rPr>
          <w:rFonts w:ascii="Times New Roman" w:hAnsi="Times New Roman" w:cs="Times New Roman"/>
        </w:rPr>
        <w:t xml:space="preserve">The Bill implements recommendations </w:t>
      </w:r>
      <w:r w:rsidR="003D4AD7" w:rsidRPr="00D70B46">
        <w:rPr>
          <w:rFonts w:ascii="Times New Roman" w:hAnsi="Times New Roman" w:cs="Times New Roman"/>
        </w:rPr>
        <w:t xml:space="preserve">in 2011 </w:t>
      </w:r>
      <w:r w:rsidRPr="00D70B46">
        <w:rPr>
          <w:rFonts w:ascii="Times New Roman" w:hAnsi="Times New Roman" w:cs="Times New Roman"/>
        </w:rPr>
        <w:t xml:space="preserve">made by the Law Commission which </w:t>
      </w:r>
      <w:r w:rsidR="00FE1349">
        <w:rPr>
          <w:rFonts w:ascii="Times New Roman" w:hAnsi="Times New Roman" w:cs="Times New Roman"/>
        </w:rPr>
        <w:t xml:space="preserve">considered </w:t>
      </w:r>
      <w:r w:rsidRPr="00D70B46">
        <w:rPr>
          <w:rFonts w:ascii="Times New Roman" w:hAnsi="Times New Roman" w:cs="Times New Roman"/>
        </w:rPr>
        <w:t xml:space="preserve">that </w:t>
      </w:r>
      <w:r w:rsidR="003D4AD7">
        <w:rPr>
          <w:rFonts w:ascii="Times New Roman" w:hAnsi="Times New Roman" w:cs="Times New Roman"/>
        </w:rPr>
        <w:t>the legislation</w:t>
      </w:r>
      <w:r w:rsidRPr="00D70B46">
        <w:rPr>
          <w:rFonts w:ascii="Times New Roman" w:hAnsi="Times New Roman" w:cs="Times New Roman"/>
        </w:rPr>
        <w:t xml:space="preserve"> needed updating to address the challenges of the digital age. </w:t>
      </w:r>
      <w:r w:rsidR="00FE1349">
        <w:rPr>
          <w:rFonts w:ascii="Times New Roman" w:hAnsi="Times New Roman" w:cs="Times New Roman"/>
        </w:rPr>
        <w:t>In</w:t>
      </w:r>
      <w:r w:rsidR="003D4AD7">
        <w:rPr>
          <w:rFonts w:ascii="Times New Roman" w:hAnsi="Times New Roman" w:cs="Times New Roman"/>
        </w:rPr>
        <w:t xml:space="preserve"> i</w:t>
      </w:r>
      <w:r w:rsidR="00FE1349">
        <w:rPr>
          <w:rFonts w:ascii="Times New Roman" w:hAnsi="Times New Roman" w:cs="Times New Roman"/>
        </w:rPr>
        <w:t>ts present form i</w:t>
      </w:r>
      <w:r w:rsidRPr="00D70B46">
        <w:rPr>
          <w:rFonts w:ascii="Times New Roman" w:hAnsi="Times New Roman" w:cs="Times New Roman"/>
        </w:rPr>
        <w:t xml:space="preserve">t </w:t>
      </w:r>
      <w:r w:rsidR="00FE1349">
        <w:rPr>
          <w:rFonts w:ascii="Times New Roman" w:hAnsi="Times New Roman" w:cs="Times New Roman"/>
        </w:rPr>
        <w:t>include</w:t>
      </w:r>
      <w:r w:rsidR="003D4AD7">
        <w:rPr>
          <w:rFonts w:ascii="Times New Roman" w:hAnsi="Times New Roman" w:cs="Times New Roman"/>
        </w:rPr>
        <w:t>s</w:t>
      </w:r>
      <w:r w:rsidR="00FE1349">
        <w:rPr>
          <w:rFonts w:ascii="Times New Roman" w:hAnsi="Times New Roman" w:cs="Times New Roman"/>
        </w:rPr>
        <w:t xml:space="preserve"> </w:t>
      </w:r>
      <w:r w:rsidRPr="00D70B46">
        <w:rPr>
          <w:rFonts w:ascii="Times New Roman" w:hAnsi="Times New Roman" w:cs="Times New Roman"/>
        </w:rPr>
        <w:t>the promotion and protection of privacy by reference to the relevant international standards which</w:t>
      </w:r>
      <w:r w:rsidR="003D4AD7">
        <w:rPr>
          <w:rFonts w:ascii="Times New Roman" w:hAnsi="Times New Roman" w:cs="Times New Roman"/>
        </w:rPr>
        <w:t>, in turn,</w:t>
      </w:r>
      <w:r w:rsidRPr="00D70B46">
        <w:rPr>
          <w:rFonts w:ascii="Times New Roman" w:hAnsi="Times New Roman" w:cs="Times New Roman"/>
        </w:rPr>
        <w:t xml:space="preserve"> dictate its interpretation. For comment </w:t>
      </w:r>
      <w:r w:rsidR="00FE1349">
        <w:rPr>
          <w:rFonts w:ascii="Times New Roman" w:hAnsi="Times New Roman" w:cs="Times New Roman"/>
        </w:rPr>
        <w:t xml:space="preserve">on the relationship of the Bill and the present legislation </w:t>
      </w:r>
      <w:r w:rsidRPr="00D70B46">
        <w:rPr>
          <w:rFonts w:ascii="Times New Roman" w:hAnsi="Times New Roman" w:cs="Times New Roman"/>
        </w:rPr>
        <w:t xml:space="preserve">see </w:t>
      </w:r>
      <w:r w:rsidRPr="00D70B46">
        <w:rPr>
          <w:rFonts w:ascii="Times New Roman" w:hAnsi="Times New Roman" w:cs="Times New Roman"/>
          <w:i/>
        </w:rPr>
        <w:t>Naidu v Royal Australasian College of Surgeons</w:t>
      </w:r>
      <w:r w:rsidRPr="00D70B46">
        <w:rPr>
          <w:rFonts w:ascii="Times New Roman" w:hAnsi="Times New Roman" w:cs="Times New Roman"/>
        </w:rPr>
        <w:t xml:space="preserve"> [2018] NZHRRT 23 at [44].  </w:t>
      </w:r>
    </w:p>
    <w:p w:rsidR="00390197" w:rsidRDefault="00FB4E36" w:rsidP="00FE294D">
      <w:pPr>
        <w:spacing w:line="240" w:lineRule="auto"/>
        <w:jc w:val="both"/>
        <w:rPr>
          <w:rFonts w:ascii="Times New Roman" w:hAnsi="Times New Roman" w:cs="Times New Roman"/>
        </w:rPr>
      </w:pPr>
      <w:r w:rsidRPr="00FB4E36">
        <w:rPr>
          <w:rFonts w:ascii="Times New Roman" w:hAnsi="Times New Roman" w:cs="Times New Roman"/>
        </w:rPr>
        <w:t xml:space="preserve">The </w:t>
      </w:r>
      <w:r w:rsidRPr="00FB4E36">
        <w:rPr>
          <w:rFonts w:ascii="Times New Roman" w:hAnsi="Times New Roman" w:cs="Times New Roman"/>
          <w:b/>
        </w:rPr>
        <w:t>Domestic Violence - Victims Protection Bill</w:t>
      </w:r>
      <w:r w:rsidRPr="00FB4E36">
        <w:rPr>
          <w:rFonts w:ascii="Times New Roman" w:hAnsi="Times New Roman" w:cs="Times New Roman"/>
        </w:rPr>
        <w:t xml:space="preserve"> </w:t>
      </w:r>
      <w:r>
        <w:rPr>
          <w:rFonts w:ascii="Times New Roman" w:hAnsi="Times New Roman" w:cs="Times New Roman"/>
        </w:rPr>
        <w:t xml:space="preserve">which </w:t>
      </w:r>
      <w:r w:rsidRPr="00FB4E36">
        <w:rPr>
          <w:rFonts w:ascii="Times New Roman" w:hAnsi="Times New Roman" w:cs="Times New Roman"/>
        </w:rPr>
        <w:t>aims to enhance legal protections in the workplace for people affected by domestic violence has</w:t>
      </w:r>
      <w:r>
        <w:rPr>
          <w:rFonts w:ascii="Times New Roman" w:hAnsi="Times New Roman" w:cs="Times New Roman"/>
        </w:rPr>
        <w:t xml:space="preserve"> h</w:t>
      </w:r>
      <w:r w:rsidRPr="00FB4E36">
        <w:rPr>
          <w:rFonts w:ascii="Times New Roman" w:hAnsi="Times New Roman" w:cs="Times New Roman"/>
        </w:rPr>
        <w:t>ad its third reading.</w:t>
      </w:r>
      <w:r w:rsidR="00864885">
        <w:rPr>
          <w:rFonts w:ascii="Times New Roman" w:hAnsi="Times New Roman" w:cs="Times New Roman"/>
        </w:rPr>
        <w:t xml:space="preserve"> The Bill amends a number of pieces of legislation including the Human Rights Act and the Holidays Act</w:t>
      </w:r>
      <w:r w:rsidRPr="00FB4E36">
        <w:rPr>
          <w:rFonts w:ascii="Times New Roman" w:hAnsi="Times New Roman" w:cs="Times New Roman"/>
        </w:rPr>
        <w:t>.</w:t>
      </w:r>
      <w:r w:rsidR="00055278">
        <w:rPr>
          <w:rFonts w:ascii="Times New Roman" w:hAnsi="Times New Roman" w:cs="Times New Roman"/>
        </w:rPr>
        <w:t xml:space="preserve"> It comes into force on </w:t>
      </w:r>
      <w:r w:rsidR="00FE1349">
        <w:rPr>
          <w:rFonts w:ascii="Times New Roman" w:hAnsi="Times New Roman" w:cs="Times New Roman"/>
        </w:rPr>
        <w:t xml:space="preserve">1 </w:t>
      </w:r>
      <w:r w:rsidR="00055278">
        <w:rPr>
          <w:rFonts w:ascii="Times New Roman" w:hAnsi="Times New Roman" w:cs="Times New Roman"/>
        </w:rPr>
        <w:t xml:space="preserve">April 2019. </w:t>
      </w:r>
    </w:p>
    <w:p w:rsidR="00737ACC" w:rsidRPr="00AE6B0C" w:rsidRDefault="00737ACC" w:rsidP="00FE294D">
      <w:pPr>
        <w:pStyle w:val="NormalWeb"/>
        <w:jc w:val="both"/>
        <w:rPr>
          <w:sz w:val="22"/>
          <w:szCs w:val="22"/>
        </w:rPr>
      </w:pPr>
      <w:r w:rsidRPr="00AE6B0C">
        <w:rPr>
          <w:sz w:val="22"/>
          <w:szCs w:val="22"/>
        </w:rPr>
        <w:lastRenderedPageBreak/>
        <w:t xml:space="preserve">The </w:t>
      </w:r>
      <w:r w:rsidRPr="00AE6B0C">
        <w:rPr>
          <w:b/>
          <w:sz w:val="22"/>
          <w:szCs w:val="22"/>
        </w:rPr>
        <w:t>Court Matters Bill (Tribunal Powers and Procedures Legislation Bill</w:t>
      </w:r>
      <w:r w:rsidR="00AE6B0C" w:rsidRPr="00AE6B0C">
        <w:rPr>
          <w:sz w:val="22"/>
          <w:szCs w:val="22"/>
        </w:rPr>
        <w:t xml:space="preserve"> passed into law on 7 November 2018. The bill aim</w:t>
      </w:r>
      <w:r w:rsidR="00A80D2A">
        <w:rPr>
          <w:sz w:val="22"/>
          <w:szCs w:val="22"/>
        </w:rPr>
        <w:t>s</w:t>
      </w:r>
      <w:r w:rsidR="00AE6B0C" w:rsidRPr="00AE6B0C">
        <w:rPr>
          <w:sz w:val="22"/>
          <w:szCs w:val="22"/>
        </w:rPr>
        <w:t xml:space="preserve"> to establish a framework to help courts and tribunals provide what the Government describes as a more modern, customer</w:t>
      </w:r>
      <w:r w:rsidR="00A80D2A">
        <w:rPr>
          <w:sz w:val="22"/>
          <w:szCs w:val="22"/>
        </w:rPr>
        <w:t>-</w:t>
      </w:r>
      <w:r w:rsidR="00AE6B0C" w:rsidRPr="00AE6B0C">
        <w:rPr>
          <w:sz w:val="22"/>
          <w:szCs w:val="22"/>
        </w:rPr>
        <w:t xml:space="preserve">centred service. One of the more significant changes is </w:t>
      </w:r>
      <w:r w:rsidR="00AE6B0C">
        <w:rPr>
          <w:sz w:val="22"/>
          <w:szCs w:val="22"/>
        </w:rPr>
        <w:t>the</w:t>
      </w:r>
      <w:r w:rsidR="00A80D2A">
        <w:rPr>
          <w:sz w:val="22"/>
          <w:szCs w:val="22"/>
        </w:rPr>
        <w:t xml:space="preserve"> Bill’s</w:t>
      </w:r>
      <w:r w:rsidR="00AE6B0C" w:rsidRPr="00AE6B0C">
        <w:rPr>
          <w:sz w:val="22"/>
          <w:szCs w:val="22"/>
        </w:rPr>
        <w:t xml:space="preserve"> attempt to address the backlog of cases in the Human Rights Review Tribunal by allowing for the appointment of deputy chairpersons.</w:t>
      </w:r>
      <w:r w:rsidR="00AE6B0C">
        <w:rPr>
          <w:sz w:val="22"/>
          <w:szCs w:val="22"/>
        </w:rPr>
        <w:t xml:space="preserve"> </w:t>
      </w:r>
    </w:p>
    <w:p w:rsidR="000C0095" w:rsidRDefault="000C0095" w:rsidP="00FE294D">
      <w:pPr>
        <w:pStyle w:val="element"/>
        <w:jc w:val="both"/>
        <w:rPr>
          <w:sz w:val="22"/>
          <w:szCs w:val="22"/>
        </w:rPr>
      </w:pPr>
      <w:r w:rsidRPr="000C0095">
        <w:rPr>
          <w:b/>
          <w:sz w:val="22"/>
          <w:szCs w:val="22"/>
        </w:rPr>
        <w:t>Part 4A of the NZ Public Health and Disability Act</w:t>
      </w:r>
      <w:r w:rsidR="00A80D2A">
        <w:rPr>
          <w:b/>
          <w:sz w:val="22"/>
          <w:szCs w:val="22"/>
        </w:rPr>
        <w:t>,</w:t>
      </w:r>
      <w:r w:rsidRPr="000C0095">
        <w:rPr>
          <w:b/>
          <w:sz w:val="22"/>
          <w:szCs w:val="22"/>
        </w:rPr>
        <w:t xml:space="preserve"> </w:t>
      </w:r>
      <w:r w:rsidRPr="000C0095">
        <w:rPr>
          <w:sz w:val="22"/>
          <w:szCs w:val="22"/>
        </w:rPr>
        <w:t xml:space="preserve">which bans families </w:t>
      </w:r>
      <w:r>
        <w:rPr>
          <w:sz w:val="22"/>
          <w:szCs w:val="22"/>
        </w:rPr>
        <w:t xml:space="preserve">who care for their disabled family members </w:t>
      </w:r>
      <w:r w:rsidRPr="000C0095">
        <w:rPr>
          <w:sz w:val="22"/>
          <w:szCs w:val="22"/>
        </w:rPr>
        <w:t>fr</w:t>
      </w:r>
      <w:r>
        <w:rPr>
          <w:sz w:val="22"/>
          <w:szCs w:val="22"/>
        </w:rPr>
        <w:t>om</w:t>
      </w:r>
      <w:r>
        <w:rPr>
          <w:b/>
          <w:sz w:val="22"/>
          <w:szCs w:val="22"/>
        </w:rPr>
        <w:t xml:space="preserve"> </w:t>
      </w:r>
      <w:r w:rsidRPr="000C0095">
        <w:rPr>
          <w:sz w:val="22"/>
          <w:szCs w:val="22"/>
        </w:rPr>
        <w:t xml:space="preserve">taking discrimination cases </w:t>
      </w:r>
      <w:r w:rsidR="00A80D2A">
        <w:rPr>
          <w:sz w:val="22"/>
          <w:szCs w:val="22"/>
        </w:rPr>
        <w:t>about</w:t>
      </w:r>
      <w:r w:rsidRPr="000C0095">
        <w:rPr>
          <w:sz w:val="22"/>
          <w:szCs w:val="22"/>
        </w:rPr>
        <w:t xml:space="preserve"> the government's family care policy to court</w:t>
      </w:r>
      <w:r w:rsidR="00A80D2A">
        <w:rPr>
          <w:sz w:val="22"/>
          <w:szCs w:val="22"/>
        </w:rPr>
        <w:t>,</w:t>
      </w:r>
      <w:r w:rsidRPr="000C0095">
        <w:rPr>
          <w:sz w:val="22"/>
          <w:szCs w:val="22"/>
        </w:rPr>
        <w:t xml:space="preserve"> looks likely to be quashed</w:t>
      </w:r>
      <w:r>
        <w:rPr>
          <w:sz w:val="22"/>
          <w:szCs w:val="22"/>
        </w:rPr>
        <w:t>. Repeal of the provision was one of Labour’s campaign promises. A</w:t>
      </w:r>
      <w:r w:rsidRPr="000C0095">
        <w:rPr>
          <w:sz w:val="22"/>
          <w:szCs w:val="22"/>
        </w:rPr>
        <w:t xml:space="preserve"> proposal to revoke the law will </w:t>
      </w:r>
      <w:r w:rsidR="00A64659">
        <w:rPr>
          <w:sz w:val="22"/>
          <w:szCs w:val="22"/>
        </w:rPr>
        <w:t xml:space="preserve">shortly </w:t>
      </w:r>
      <w:r w:rsidRPr="000C0095">
        <w:rPr>
          <w:sz w:val="22"/>
          <w:szCs w:val="22"/>
        </w:rPr>
        <w:t>go before a Cabinet committee and</w:t>
      </w:r>
      <w:r w:rsidR="00E74094">
        <w:rPr>
          <w:sz w:val="22"/>
          <w:szCs w:val="22"/>
        </w:rPr>
        <w:t>,</w:t>
      </w:r>
      <w:r w:rsidRPr="000C0095">
        <w:rPr>
          <w:sz w:val="22"/>
          <w:szCs w:val="22"/>
        </w:rPr>
        <w:t xml:space="preserve"> if approved</w:t>
      </w:r>
      <w:r w:rsidR="00E74094">
        <w:rPr>
          <w:sz w:val="22"/>
          <w:szCs w:val="22"/>
        </w:rPr>
        <w:t>,</w:t>
      </w:r>
      <w:r w:rsidRPr="000C0095">
        <w:rPr>
          <w:sz w:val="22"/>
          <w:szCs w:val="22"/>
        </w:rPr>
        <w:t xml:space="preserve"> before Cabinet.</w:t>
      </w:r>
    </w:p>
    <w:p w:rsidR="00DB6970" w:rsidRPr="00A0268B" w:rsidRDefault="00FE1349" w:rsidP="00FE294D">
      <w:pPr>
        <w:pStyle w:val="element"/>
        <w:jc w:val="both"/>
        <w:rPr>
          <w:b/>
          <w:sz w:val="22"/>
          <w:szCs w:val="22"/>
        </w:rPr>
      </w:pPr>
      <w:r>
        <w:rPr>
          <w:sz w:val="22"/>
          <w:szCs w:val="22"/>
        </w:rPr>
        <w:t>C</w:t>
      </w:r>
      <w:r w:rsidR="00DB6970" w:rsidRPr="00A0268B">
        <w:rPr>
          <w:sz w:val="22"/>
          <w:szCs w:val="22"/>
        </w:rPr>
        <w:t xml:space="preserve">hanges to the </w:t>
      </w:r>
      <w:r w:rsidR="00DB6970" w:rsidRPr="00A0268B">
        <w:rPr>
          <w:b/>
          <w:sz w:val="22"/>
          <w:szCs w:val="22"/>
        </w:rPr>
        <w:t>Protected Disclosures Act 2000</w:t>
      </w:r>
      <w:r w:rsidR="000213B8" w:rsidRPr="000213B8">
        <w:rPr>
          <w:sz w:val="22"/>
          <w:szCs w:val="22"/>
        </w:rPr>
        <w:t xml:space="preserve"> </w:t>
      </w:r>
      <w:r w:rsidR="000213B8">
        <w:rPr>
          <w:sz w:val="22"/>
          <w:szCs w:val="22"/>
        </w:rPr>
        <w:t>are currently being considered</w:t>
      </w:r>
      <w:r w:rsidR="00DB6970" w:rsidRPr="00A0268B">
        <w:rPr>
          <w:b/>
          <w:sz w:val="22"/>
          <w:szCs w:val="22"/>
        </w:rPr>
        <w:t xml:space="preserve">. </w:t>
      </w:r>
      <w:r w:rsidR="00DB6970" w:rsidRPr="00A0268B">
        <w:rPr>
          <w:sz w:val="22"/>
          <w:szCs w:val="22"/>
        </w:rPr>
        <w:t>The purpose of the Act is to encourage people to speak up about serious wrongdoing in workplace</w:t>
      </w:r>
      <w:r w:rsidR="000213B8">
        <w:rPr>
          <w:sz w:val="22"/>
          <w:szCs w:val="22"/>
        </w:rPr>
        <w:t>s</w:t>
      </w:r>
      <w:r w:rsidR="00DB6970" w:rsidRPr="00A0268B">
        <w:rPr>
          <w:sz w:val="22"/>
          <w:szCs w:val="22"/>
        </w:rPr>
        <w:t xml:space="preserve"> and protect them from losing their jobs or being mistreated. </w:t>
      </w:r>
      <w:r w:rsidR="000213B8" w:rsidRPr="00A0268B">
        <w:rPr>
          <w:sz w:val="22"/>
          <w:szCs w:val="22"/>
        </w:rPr>
        <w:t>The current legislation is considered not to afford enough protection</w:t>
      </w:r>
      <w:r w:rsidR="000213B8">
        <w:rPr>
          <w:sz w:val="22"/>
          <w:szCs w:val="22"/>
        </w:rPr>
        <w:t xml:space="preserve"> to c</w:t>
      </w:r>
      <w:r w:rsidR="00A0268B" w:rsidRPr="00A0268B">
        <w:rPr>
          <w:sz w:val="22"/>
          <w:szCs w:val="22"/>
        </w:rPr>
        <w:t>itizens who speak up in the public interest</w:t>
      </w:r>
      <w:r w:rsidR="000213B8">
        <w:rPr>
          <w:sz w:val="22"/>
          <w:szCs w:val="22"/>
        </w:rPr>
        <w:t>.</w:t>
      </w:r>
      <w:r w:rsidR="00A0268B" w:rsidRPr="00A0268B">
        <w:rPr>
          <w:sz w:val="22"/>
          <w:szCs w:val="22"/>
        </w:rPr>
        <w:t xml:space="preserve"> A summary of the SSC recent review of the Act </w:t>
      </w:r>
      <w:r w:rsidR="00A80D2A">
        <w:rPr>
          <w:sz w:val="22"/>
          <w:szCs w:val="22"/>
        </w:rPr>
        <w:t xml:space="preserve">is accessible </w:t>
      </w:r>
      <w:r w:rsidR="00A0268B" w:rsidRPr="00A0268B">
        <w:rPr>
          <w:sz w:val="22"/>
          <w:szCs w:val="22"/>
        </w:rPr>
        <w:t xml:space="preserve">at </w:t>
      </w:r>
      <w:hyperlink r:id="rId10" w:history="1">
        <w:r w:rsidR="00A0268B" w:rsidRPr="00A0268B">
          <w:rPr>
            <w:rStyle w:val="Hyperlink"/>
            <w:sz w:val="22"/>
            <w:szCs w:val="22"/>
          </w:rPr>
          <w:t>www.ssc.govt.nz/sites/all/files/Targeted-Consultation-Summary-May-2018.pdf</w:t>
        </w:r>
      </w:hyperlink>
      <w:r w:rsidR="00A0268B" w:rsidRPr="00A0268B">
        <w:rPr>
          <w:sz w:val="22"/>
          <w:szCs w:val="22"/>
        </w:rPr>
        <w:t xml:space="preserve">. </w:t>
      </w:r>
      <w:r w:rsidR="00DB6970" w:rsidRPr="00A0268B">
        <w:rPr>
          <w:sz w:val="22"/>
          <w:szCs w:val="22"/>
        </w:rPr>
        <w:t xml:space="preserve">Submissions </w:t>
      </w:r>
      <w:r w:rsidR="00A0268B" w:rsidRPr="00A0268B">
        <w:rPr>
          <w:sz w:val="22"/>
          <w:szCs w:val="22"/>
        </w:rPr>
        <w:t xml:space="preserve">to the SSC opened on 29 October and </w:t>
      </w:r>
      <w:r w:rsidR="00055278">
        <w:rPr>
          <w:sz w:val="22"/>
          <w:szCs w:val="22"/>
        </w:rPr>
        <w:t>ha</w:t>
      </w:r>
      <w:r>
        <w:rPr>
          <w:sz w:val="22"/>
          <w:szCs w:val="22"/>
        </w:rPr>
        <w:t>d to</w:t>
      </w:r>
      <w:r w:rsidR="00DB6970" w:rsidRPr="00A0268B">
        <w:rPr>
          <w:sz w:val="22"/>
          <w:szCs w:val="22"/>
        </w:rPr>
        <w:t xml:space="preserve"> </w:t>
      </w:r>
      <w:r>
        <w:rPr>
          <w:sz w:val="22"/>
          <w:szCs w:val="22"/>
        </w:rPr>
        <w:t xml:space="preserve">be </w:t>
      </w:r>
      <w:r w:rsidR="00DB6970" w:rsidRPr="00A0268B">
        <w:rPr>
          <w:sz w:val="22"/>
          <w:szCs w:val="22"/>
        </w:rPr>
        <w:t xml:space="preserve">received by 7 December. </w:t>
      </w:r>
      <w:r>
        <w:rPr>
          <w:sz w:val="22"/>
          <w:szCs w:val="22"/>
        </w:rPr>
        <w:t>The SSC is to report to the Minister with suggested changes early this year.</w:t>
      </w:r>
      <w:r w:rsidR="00DB6970" w:rsidRPr="00A0268B">
        <w:rPr>
          <w:sz w:val="22"/>
          <w:szCs w:val="22"/>
        </w:rPr>
        <w:t xml:space="preserve"> </w:t>
      </w:r>
    </w:p>
    <w:p w:rsidR="00952C8B" w:rsidRDefault="00081186" w:rsidP="00FE294D">
      <w:pPr>
        <w:pStyle w:val="element"/>
        <w:jc w:val="both"/>
        <w:rPr>
          <w:sz w:val="22"/>
          <w:szCs w:val="22"/>
        </w:rPr>
      </w:pPr>
      <w:r w:rsidRPr="00081186">
        <w:rPr>
          <w:sz w:val="22"/>
          <w:szCs w:val="22"/>
        </w:rPr>
        <w:t>A</w:t>
      </w:r>
      <w:r>
        <w:rPr>
          <w:sz w:val="22"/>
          <w:szCs w:val="22"/>
        </w:rPr>
        <w:t xml:space="preserve"> pilot </w:t>
      </w:r>
      <w:r>
        <w:rPr>
          <w:b/>
          <w:sz w:val="22"/>
          <w:szCs w:val="22"/>
        </w:rPr>
        <w:t>s</w:t>
      </w:r>
      <w:r w:rsidRPr="00081186">
        <w:rPr>
          <w:b/>
          <w:sz w:val="22"/>
          <w:szCs w:val="22"/>
        </w:rPr>
        <w:t>upport service for victims of sexual violence</w:t>
      </w:r>
      <w:r>
        <w:rPr>
          <w:sz w:val="22"/>
          <w:szCs w:val="22"/>
        </w:rPr>
        <w:t xml:space="preserve"> designed </w:t>
      </w:r>
      <w:r w:rsidR="00952C8B" w:rsidRPr="00952C8B">
        <w:rPr>
          <w:sz w:val="22"/>
          <w:szCs w:val="22"/>
        </w:rPr>
        <w:t>to reduce the trauma experienced by sexual violence survivors going through the criminal justice system</w:t>
      </w:r>
      <w:r>
        <w:rPr>
          <w:sz w:val="22"/>
          <w:szCs w:val="22"/>
        </w:rPr>
        <w:t xml:space="preserve"> has been announced</w:t>
      </w:r>
      <w:r w:rsidR="00952C8B" w:rsidRPr="00952C8B">
        <w:rPr>
          <w:sz w:val="22"/>
          <w:szCs w:val="22"/>
        </w:rPr>
        <w:t>. The service will be provided by the Auckland Sexual Abuse HELP Foundation Charitable Trust (HELP) for the next 12 months.</w:t>
      </w:r>
      <w:r>
        <w:rPr>
          <w:sz w:val="22"/>
          <w:szCs w:val="22"/>
        </w:rPr>
        <w:t xml:space="preserve"> </w:t>
      </w:r>
      <w:r w:rsidRPr="00081186">
        <w:rPr>
          <w:sz w:val="22"/>
          <w:szCs w:val="22"/>
        </w:rPr>
        <w:t>Auckland was chosen as the pilot location because of its large metropolitan area with a highly diverse population and a Specialist Sexual Violence Court pilot in operation.</w:t>
      </w:r>
    </w:p>
    <w:p w:rsidR="00FE1349" w:rsidRPr="009531F8" w:rsidRDefault="00FE1349" w:rsidP="009531F8">
      <w:pPr>
        <w:spacing w:after="0" w:line="240" w:lineRule="auto"/>
        <w:jc w:val="both"/>
        <w:rPr>
          <w:rFonts w:asciiTheme="minorHAnsi" w:hAnsiTheme="minorHAnsi" w:cs="Times New Roman"/>
        </w:rPr>
      </w:pPr>
      <w:r w:rsidRPr="00FE1349">
        <w:rPr>
          <w:rFonts w:ascii="Times New Roman" w:hAnsi="Times New Roman" w:cs="Times New Roman"/>
        </w:rPr>
        <w:t xml:space="preserve">In March the UN Committee with oversight of the Covenant on Economic Social and Cultural Rights </w:t>
      </w:r>
      <w:r w:rsidRPr="00FE1349">
        <w:rPr>
          <w:rFonts w:ascii="Times New Roman" w:hAnsi="Times New Roman" w:cs="Times New Roman"/>
          <w:bCs/>
        </w:rPr>
        <w:t xml:space="preserve">endorsed the </w:t>
      </w:r>
      <w:r w:rsidRPr="00FE1349">
        <w:rPr>
          <w:rFonts w:ascii="Times New Roman" w:hAnsi="Times New Roman" w:cs="Times New Roman"/>
          <w:b/>
        </w:rPr>
        <w:t>Mental Health Inquiry</w:t>
      </w:r>
      <w:r w:rsidRPr="00FE1349">
        <w:rPr>
          <w:rFonts w:ascii="Times New Roman" w:hAnsi="Times New Roman" w:cs="Times New Roman"/>
        </w:rPr>
        <w:t xml:space="preserve"> urging </w:t>
      </w:r>
      <w:r w:rsidRPr="00FE1349">
        <w:rPr>
          <w:rFonts w:ascii="Times New Roman" w:hAnsi="Times New Roman" w:cs="Times New Roman"/>
          <w:bCs/>
        </w:rPr>
        <w:t xml:space="preserve">that steps are taken to implement any recommendations </w:t>
      </w:r>
      <w:r w:rsidR="000213B8">
        <w:rPr>
          <w:rFonts w:ascii="Times New Roman" w:hAnsi="Times New Roman" w:cs="Times New Roman"/>
          <w:bCs/>
        </w:rPr>
        <w:t>it makes</w:t>
      </w:r>
      <w:r w:rsidRPr="00FE1349">
        <w:rPr>
          <w:rFonts w:ascii="Times New Roman" w:hAnsi="Times New Roman" w:cs="Times New Roman"/>
          <w:bCs/>
        </w:rPr>
        <w:t>.</w:t>
      </w:r>
      <w:r w:rsidRPr="00FE1349">
        <w:rPr>
          <w:rFonts w:ascii="Times New Roman" w:hAnsi="Times New Roman" w:cs="Times New Roman"/>
        </w:rPr>
        <w:t xml:space="preserve"> It also recommended </w:t>
      </w:r>
      <w:r w:rsidRPr="00FE1349">
        <w:rPr>
          <w:rFonts w:ascii="Times New Roman" w:hAnsi="Times New Roman" w:cs="Times New Roman"/>
          <w:bCs/>
        </w:rPr>
        <w:t xml:space="preserve">ensuring the availability and appropriate provision of mental health services, including community-based care, for those who need them, including prison inmates. </w:t>
      </w:r>
      <w:r w:rsidRPr="00FE1349">
        <w:rPr>
          <w:rFonts w:ascii="Times New Roman" w:hAnsi="Times New Roman" w:cs="Times New Roman"/>
        </w:rPr>
        <w:t>Submissions to the Inquiry closed on June 5. R</w:t>
      </w:r>
      <w:r w:rsidR="00B414A5">
        <w:rPr>
          <w:rFonts w:ascii="Times New Roman" w:hAnsi="Times New Roman" w:cs="Times New Roman"/>
        </w:rPr>
        <w:t xml:space="preserve">ead </w:t>
      </w:r>
      <w:r w:rsidR="00B414A5" w:rsidRPr="009531F8">
        <w:rPr>
          <w:rFonts w:ascii="Times New Roman" w:hAnsi="Times New Roman" w:cs="Times New Roman"/>
        </w:rPr>
        <w:t>the Centre’s submission</w:t>
      </w:r>
      <w:r w:rsidR="009531F8">
        <w:rPr>
          <w:rFonts w:ascii="Times New Roman" w:hAnsi="Times New Roman" w:cs="Times New Roman"/>
        </w:rPr>
        <w:t xml:space="preserve"> at </w:t>
      </w:r>
      <w:hyperlink r:id="rId11" w:history="1">
        <w:r w:rsidR="009531F8" w:rsidRPr="00756BC5">
          <w:rPr>
            <w:rStyle w:val="Hyperlink"/>
            <w:rFonts w:ascii="Times New Roman" w:hAnsi="Times New Roman" w:cs="Times New Roman"/>
          </w:rPr>
          <w:t>https://www.auckland.ac.nz/en/law/our-research/research-institutes-centres/human-rights-centre/e-bulletins/march-2019-e-bulletin/mental-health-inquiry-submission.html</w:t>
        </w:r>
      </w:hyperlink>
      <w:r w:rsidR="00B414A5" w:rsidRPr="009531F8">
        <w:rPr>
          <w:rFonts w:ascii="Times New Roman" w:hAnsi="Times New Roman" w:cs="Times New Roman"/>
        </w:rPr>
        <w:t>.</w:t>
      </w:r>
      <w:r w:rsidRPr="009531F8">
        <w:rPr>
          <w:rFonts w:asciiTheme="minorHAnsi" w:hAnsiTheme="minorHAnsi" w:cs="Times New Roman"/>
        </w:rPr>
        <w:t xml:space="preserve"> </w:t>
      </w:r>
    </w:p>
    <w:p w:rsidR="000213B8" w:rsidRPr="00372480" w:rsidRDefault="000213B8" w:rsidP="00FE1349">
      <w:pPr>
        <w:pStyle w:val="element"/>
        <w:jc w:val="both"/>
        <w:rPr>
          <w:sz w:val="22"/>
          <w:szCs w:val="22"/>
        </w:rPr>
      </w:pPr>
      <w:r w:rsidRPr="00372480">
        <w:rPr>
          <w:sz w:val="22"/>
          <w:szCs w:val="22"/>
        </w:rPr>
        <w:t xml:space="preserve">The Inquiry reported back in November. The report </w:t>
      </w:r>
      <w:hyperlink r:id="rId12" w:history="1">
        <w:r w:rsidRPr="00372480">
          <w:rPr>
            <w:rStyle w:val="Hyperlink"/>
            <w:i/>
            <w:color w:val="auto"/>
            <w:sz w:val="22"/>
            <w:szCs w:val="22"/>
            <w:u w:val="none"/>
          </w:rPr>
          <w:t xml:space="preserve">He </w:t>
        </w:r>
        <w:proofErr w:type="spellStart"/>
        <w:r w:rsidRPr="00372480">
          <w:rPr>
            <w:rStyle w:val="Hyperlink"/>
            <w:i/>
            <w:color w:val="auto"/>
            <w:sz w:val="22"/>
            <w:szCs w:val="22"/>
            <w:u w:val="none"/>
          </w:rPr>
          <w:t>Ara</w:t>
        </w:r>
        <w:proofErr w:type="spellEnd"/>
        <w:r w:rsidRPr="00372480">
          <w:rPr>
            <w:rStyle w:val="Hyperlink"/>
            <w:i/>
            <w:color w:val="auto"/>
            <w:sz w:val="22"/>
            <w:szCs w:val="22"/>
            <w:u w:val="none"/>
          </w:rPr>
          <w:t xml:space="preserve"> </w:t>
        </w:r>
        <w:proofErr w:type="spellStart"/>
        <w:r w:rsidRPr="00372480">
          <w:rPr>
            <w:rStyle w:val="Hyperlink"/>
            <w:i/>
            <w:color w:val="auto"/>
            <w:sz w:val="22"/>
            <w:szCs w:val="22"/>
            <w:u w:val="none"/>
          </w:rPr>
          <w:t>Oranga</w:t>
        </w:r>
        <w:proofErr w:type="spellEnd"/>
        <w:r w:rsidRPr="00372480">
          <w:rPr>
            <w:rStyle w:val="Hyperlink"/>
            <w:i/>
            <w:color w:val="auto"/>
            <w:sz w:val="22"/>
            <w:szCs w:val="22"/>
            <w:u w:val="none"/>
          </w:rPr>
          <w:t>: Report of the Government Inq</w:t>
        </w:r>
        <w:r w:rsidR="00F035CD">
          <w:rPr>
            <w:rStyle w:val="Hyperlink"/>
            <w:i/>
            <w:color w:val="auto"/>
            <w:sz w:val="22"/>
            <w:szCs w:val="22"/>
            <w:u w:val="none"/>
          </w:rPr>
          <w:t>u</w:t>
        </w:r>
        <w:r w:rsidRPr="00372480">
          <w:rPr>
            <w:rStyle w:val="Hyperlink"/>
            <w:i/>
            <w:color w:val="auto"/>
            <w:sz w:val="22"/>
            <w:szCs w:val="22"/>
            <w:u w:val="none"/>
          </w:rPr>
          <w:t>iry into Mental Health and Addiction</w:t>
        </w:r>
      </w:hyperlink>
      <w:r w:rsidRPr="00372480">
        <w:rPr>
          <w:sz w:val="22"/>
          <w:szCs w:val="22"/>
        </w:rPr>
        <w:t xml:space="preserve"> can be read on the </w:t>
      </w:r>
      <w:r w:rsidR="00372480" w:rsidRPr="00372480">
        <w:rPr>
          <w:sz w:val="22"/>
          <w:szCs w:val="22"/>
        </w:rPr>
        <w:t>Inquiry’s website.</w:t>
      </w:r>
      <w:r w:rsidR="00F035CD">
        <w:rPr>
          <w:sz w:val="22"/>
          <w:szCs w:val="22"/>
        </w:rPr>
        <w:t xml:space="preserve"> </w:t>
      </w:r>
      <w:r w:rsidR="001B0908">
        <w:rPr>
          <w:sz w:val="22"/>
          <w:szCs w:val="22"/>
        </w:rPr>
        <w:t>A</w:t>
      </w:r>
      <w:r w:rsidR="001B0908" w:rsidRPr="00372480">
        <w:rPr>
          <w:sz w:val="22"/>
          <w:szCs w:val="22"/>
        </w:rPr>
        <w:t xml:space="preserve"> response from the Minister is expected </w:t>
      </w:r>
      <w:r w:rsidR="001B0908">
        <w:rPr>
          <w:sz w:val="22"/>
          <w:szCs w:val="22"/>
        </w:rPr>
        <w:t>this mo</w:t>
      </w:r>
      <w:r w:rsidR="001B0908" w:rsidRPr="00372480">
        <w:rPr>
          <w:sz w:val="22"/>
          <w:szCs w:val="22"/>
        </w:rPr>
        <w:t>n</w:t>
      </w:r>
      <w:r w:rsidR="001B0908">
        <w:rPr>
          <w:sz w:val="22"/>
          <w:szCs w:val="22"/>
        </w:rPr>
        <w:t>t</w:t>
      </w:r>
      <w:r w:rsidR="001B0908" w:rsidRPr="00372480">
        <w:rPr>
          <w:sz w:val="22"/>
          <w:szCs w:val="22"/>
        </w:rPr>
        <w:t>h</w:t>
      </w:r>
    </w:p>
    <w:p w:rsidR="006D53A1" w:rsidRPr="00180B19" w:rsidRDefault="00540D10" w:rsidP="000C7282">
      <w:pPr>
        <w:spacing w:line="240" w:lineRule="auto"/>
        <w:jc w:val="center"/>
        <w:rPr>
          <w:rFonts w:ascii="Times New Roman" w:hAnsi="Times New Roman" w:cs="Times New Roman"/>
          <w:b/>
          <w:sz w:val="24"/>
          <w:szCs w:val="24"/>
        </w:rPr>
      </w:pPr>
      <w:r w:rsidRPr="00180B19">
        <w:rPr>
          <w:rFonts w:ascii="Times New Roman" w:hAnsi="Times New Roman" w:cs="Times New Roman"/>
          <w:b/>
          <w:sz w:val="24"/>
          <w:szCs w:val="24"/>
        </w:rPr>
        <w:t>INTERNATIONAL UPDATE</w:t>
      </w:r>
    </w:p>
    <w:p w:rsidR="008E5278" w:rsidRDefault="008E5278" w:rsidP="000C7282">
      <w:pPr>
        <w:spacing w:line="240" w:lineRule="auto"/>
        <w:jc w:val="center"/>
        <w:rPr>
          <w:rFonts w:ascii="Times New Roman" w:hAnsi="Times New Roman" w:cs="Times New Roman"/>
          <w:b/>
        </w:rPr>
      </w:pPr>
    </w:p>
    <w:p w:rsidR="00372480" w:rsidRPr="00372480" w:rsidRDefault="00372480" w:rsidP="00372480">
      <w:pPr>
        <w:pStyle w:val="NormalWeb"/>
        <w:spacing w:before="0" w:beforeAutospacing="0" w:after="0" w:afterAutospacing="0"/>
        <w:jc w:val="both"/>
        <w:rPr>
          <w:rStyle w:val="Hyperlink"/>
          <w:color w:val="auto"/>
          <w:sz w:val="22"/>
          <w:szCs w:val="22"/>
          <w:u w:val="none"/>
        </w:rPr>
      </w:pPr>
      <w:r w:rsidRPr="00433CF5">
        <w:rPr>
          <w:sz w:val="22"/>
          <w:szCs w:val="22"/>
        </w:rPr>
        <w:t xml:space="preserve">In April </w:t>
      </w:r>
      <w:r w:rsidRPr="009377FB">
        <w:rPr>
          <w:sz w:val="22"/>
          <w:szCs w:val="22"/>
        </w:rPr>
        <w:t xml:space="preserve">2018 the </w:t>
      </w:r>
      <w:r w:rsidRPr="00A972D1">
        <w:rPr>
          <w:b/>
          <w:sz w:val="22"/>
          <w:szCs w:val="22"/>
        </w:rPr>
        <w:t>UN Human Rights Committee</w:t>
      </w:r>
      <w:r w:rsidRPr="009377FB">
        <w:rPr>
          <w:sz w:val="22"/>
          <w:szCs w:val="22"/>
        </w:rPr>
        <w:t xml:space="preserve"> found that New Zealand had violated its obligations under the International Covenant for Civil and Political Rights </w:t>
      </w:r>
      <w:r w:rsidR="0088579B">
        <w:rPr>
          <w:sz w:val="22"/>
          <w:szCs w:val="22"/>
        </w:rPr>
        <w:t xml:space="preserve">when it </w:t>
      </w:r>
      <w:r w:rsidRPr="009377FB">
        <w:rPr>
          <w:sz w:val="22"/>
          <w:szCs w:val="22"/>
        </w:rPr>
        <w:t>kep</w:t>
      </w:r>
      <w:r w:rsidR="0088579B">
        <w:rPr>
          <w:sz w:val="22"/>
          <w:szCs w:val="22"/>
        </w:rPr>
        <w:t>t</w:t>
      </w:r>
      <w:r w:rsidRPr="009377FB">
        <w:rPr>
          <w:sz w:val="22"/>
          <w:szCs w:val="22"/>
        </w:rPr>
        <w:t xml:space="preserve"> two men convicted of rape in preventive detention after they had served their sentences. Although the Committee’s decisions are not binding, in theory New Zealand should now reconsider the continued detention of the men and whether to take steps to facilitate their release. The decision – </w:t>
      </w:r>
      <w:r w:rsidRPr="009377FB">
        <w:rPr>
          <w:i/>
          <w:sz w:val="22"/>
          <w:szCs w:val="22"/>
        </w:rPr>
        <w:t>Miller v New Zealand</w:t>
      </w:r>
      <w:r w:rsidRPr="009377FB">
        <w:rPr>
          <w:sz w:val="22"/>
          <w:szCs w:val="22"/>
        </w:rPr>
        <w:t xml:space="preserve"> - can be read on the UN website at </w:t>
      </w:r>
      <w:hyperlink r:id="rId13" w:history="1">
        <w:r w:rsidRPr="009377FB">
          <w:rPr>
            <w:rStyle w:val="Hyperlink"/>
            <w:sz w:val="22"/>
            <w:szCs w:val="22"/>
          </w:rPr>
          <w:t>www.CCPR</w:t>
        </w:r>
        <w:r w:rsidRPr="009377FB">
          <w:rPr>
            <w:rStyle w:val="Hyperlink"/>
            <w:i/>
            <w:sz w:val="22"/>
            <w:szCs w:val="22"/>
          </w:rPr>
          <w:t>/</w:t>
        </w:r>
        <w:r w:rsidRPr="009377FB">
          <w:rPr>
            <w:rStyle w:val="Hyperlink"/>
            <w:sz w:val="22"/>
            <w:szCs w:val="22"/>
          </w:rPr>
          <w:t>C</w:t>
        </w:r>
        <w:r w:rsidRPr="009377FB">
          <w:rPr>
            <w:rStyle w:val="Hyperlink"/>
            <w:i/>
            <w:sz w:val="22"/>
            <w:szCs w:val="22"/>
          </w:rPr>
          <w:t>/121/</w:t>
        </w:r>
        <w:r w:rsidRPr="009377FB">
          <w:rPr>
            <w:rStyle w:val="Hyperlink"/>
            <w:sz w:val="22"/>
            <w:szCs w:val="22"/>
          </w:rPr>
          <w:t>D</w:t>
        </w:r>
        <w:r w:rsidRPr="009377FB">
          <w:rPr>
            <w:rStyle w:val="Hyperlink"/>
            <w:i/>
            <w:sz w:val="22"/>
            <w:szCs w:val="22"/>
          </w:rPr>
          <w:t>/</w:t>
        </w:r>
        <w:r w:rsidRPr="009377FB">
          <w:rPr>
            <w:rStyle w:val="Hyperlink"/>
            <w:sz w:val="22"/>
            <w:szCs w:val="22"/>
          </w:rPr>
          <w:t>2502/2014</w:t>
        </w:r>
      </w:hyperlink>
      <w:r w:rsidRPr="00372480">
        <w:rPr>
          <w:rStyle w:val="Hyperlink"/>
          <w:color w:val="auto"/>
          <w:sz w:val="22"/>
          <w:szCs w:val="22"/>
          <w:u w:val="none"/>
        </w:rPr>
        <w:t xml:space="preserve">. For comment on the implications in a similar situation see </w:t>
      </w:r>
      <w:proofErr w:type="spellStart"/>
      <w:r w:rsidRPr="00372480">
        <w:rPr>
          <w:rStyle w:val="Hyperlink"/>
          <w:i/>
          <w:color w:val="auto"/>
          <w:sz w:val="22"/>
          <w:szCs w:val="22"/>
          <w:u w:val="none"/>
        </w:rPr>
        <w:t>Genge</w:t>
      </w:r>
      <w:proofErr w:type="spellEnd"/>
      <w:r w:rsidRPr="00372480">
        <w:rPr>
          <w:rStyle w:val="Hyperlink"/>
          <w:i/>
          <w:color w:val="auto"/>
          <w:sz w:val="22"/>
          <w:szCs w:val="22"/>
          <w:u w:val="none"/>
        </w:rPr>
        <w:t xml:space="preserve"> v Chief Executive, Department of Corrections</w:t>
      </w:r>
      <w:r w:rsidRPr="00372480">
        <w:rPr>
          <w:rStyle w:val="Hyperlink"/>
          <w:color w:val="auto"/>
          <w:sz w:val="22"/>
          <w:szCs w:val="22"/>
          <w:u w:val="none"/>
        </w:rPr>
        <w:t xml:space="preserve"> [2018] NZHC 1447 (below). </w:t>
      </w:r>
    </w:p>
    <w:p w:rsidR="00372480" w:rsidRPr="00372480" w:rsidRDefault="00372480" w:rsidP="00372480">
      <w:pPr>
        <w:pStyle w:val="NormalWeb"/>
        <w:spacing w:before="0" w:beforeAutospacing="0" w:after="0" w:afterAutospacing="0"/>
        <w:jc w:val="both"/>
        <w:rPr>
          <w:rStyle w:val="Hyperlink"/>
          <w:color w:val="auto"/>
          <w:sz w:val="22"/>
          <w:szCs w:val="22"/>
          <w:u w:val="none"/>
        </w:rPr>
      </w:pPr>
    </w:p>
    <w:p w:rsidR="00372480" w:rsidRPr="00A972D1" w:rsidRDefault="00372480" w:rsidP="00372480">
      <w:pPr>
        <w:pStyle w:val="NormalWeb"/>
        <w:spacing w:before="0" w:beforeAutospacing="0" w:after="0" w:afterAutospacing="0"/>
        <w:jc w:val="both"/>
        <w:rPr>
          <w:rStyle w:val="Hyperlink"/>
          <w:sz w:val="22"/>
          <w:szCs w:val="22"/>
        </w:rPr>
      </w:pPr>
      <w:r w:rsidRPr="00A972D1">
        <w:rPr>
          <w:sz w:val="22"/>
          <w:szCs w:val="22"/>
        </w:rPr>
        <w:t xml:space="preserve">Jan </w:t>
      </w:r>
      <w:proofErr w:type="spellStart"/>
      <w:r w:rsidRPr="00A972D1">
        <w:rPr>
          <w:sz w:val="22"/>
          <w:szCs w:val="22"/>
        </w:rPr>
        <w:t>Logie</w:t>
      </w:r>
      <w:proofErr w:type="spellEnd"/>
      <w:r w:rsidRPr="00A972D1">
        <w:rPr>
          <w:sz w:val="22"/>
          <w:szCs w:val="22"/>
        </w:rPr>
        <w:t xml:space="preserve">, Under-Secretary for Justice (Domestic and Sexual Violence Issues), </w:t>
      </w:r>
      <w:hyperlink r:id="rId14" w:tgtFrame="_blank" w:history="1">
        <w:r w:rsidRPr="00372480">
          <w:rPr>
            <w:rStyle w:val="Hyperlink"/>
            <w:color w:val="auto"/>
            <w:sz w:val="22"/>
            <w:szCs w:val="22"/>
            <w:u w:val="none"/>
          </w:rPr>
          <w:t>presented the Government's most recent report</w:t>
        </w:r>
      </w:hyperlink>
      <w:r w:rsidRPr="00372480">
        <w:rPr>
          <w:sz w:val="22"/>
          <w:szCs w:val="22"/>
        </w:rPr>
        <w:t xml:space="preserve"> </w:t>
      </w:r>
      <w:r w:rsidRPr="00A972D1">
        <w:rPr>
          <w:sz w:val="22"/>
          <w:szCs w:val="22"/>
        </w:rPr>
        <w:t xml:space="preserve">to the </w:t>
      </w:r>
      <w:r w:rsidRPr="009A3627">
        <w:rPr>
          <w:b/>
          <w:sz w:val="22"/>
          <w:szCs w:val="22"/>
        </w:rPr>
        <w:t xml:space="preserve">UN Committee on the Elimination of Discrimination against Women </w:t>
      </w:r>
      <w:r w:rsidRPr="00A972D1">
        <w:rPr>
          <w:sz w:val="22"/>
          <w:szCs w:val="22"/>
        </w:rPr>
        <w:t>in Geneva on 12 July 2018</w:t>
      </w:r>
      <w:r>
        <w:rPr>
          <w:sz w:val="22"/>
          <w:szCs w:val="22"/>
        </w:rPr>
        <w:t>. The</w:t>
      </w:r>
      <w:r w:rsidRPr="00A972D1">
        <w:rPr>
          <w:sz w:val="22"/>
          <w:szCs w:val="22"/>
        </w:rPr>
        <w:t xml:space="preserve"> Committee</w:t>
      </w:r>
      <w:r>
        <w:rPr>
          <w:sz w:val="22"/>
          <w:szCs w:val="22"/>
        </w:rPr>
        <w:t>’s</w:t>
      </w:r>
      <w:r w:rsidRPr="00A972D1">
        <w:rPr>
          <w:sz w:val="22"/>
          <w:szCs w:val="22"/>
        </w:rPr>
        <w:t xml:space="preserve"> </w:t>
      </w:r>
      <w:proofErr w:type="gramStart"/>
      <w:r w:rsidRPr="00A972D1">
        <w:rPr>
          <w:sz w:val="22"/>
          <w:szCs w:val="22"/>
        </w:rPr>
        <w:t>Concluding</w:t>
      </w:r>
      <w:proofErr w:type="gramEnd"/>
      <w:r w:rsidRPr="00A972D1">
        <w:rPr>
          <w:sz w:val="22"/>
          <w:szCs w:val="22"/>
        </w:rPr>
        <w:t xml:space="preserve"> Observations </w:t>
      </w:r>
      <w:r>
        <w:rPr>
          <w:sz w:val="22"/>
          <w:szCs w:val="22"/>
        </w:rPr>
        <w:t xml:space="preserve">on New Zealand’s performance which </w:t>
      </w:r>
      <w:r w:rsidRPr="00A972D1">
        <w:rPr>
          <w:sz w:val="22"/>
          <w:szCs w:val="22"/>
        </w:rPr>
        <w:t>highlighted some areas of progress and achievement including adoption of the Harmful Digital Communications Act and the Vulnerable Children Act</w:t>
      </w:r>
      <w:r>
        <w:rPr>
          <w:sz w:val="22"/>
          <w:szCs w:val="22"/>
        </w:rPr>
        <w:t xml:space="preserve"> </w:t>
      </w:r>
      <w:r w:rsidRPr="00A972D1">
        <w:rPr>
          <w:sz w:val="22"/>
          <w:szCs w:val="22"/>
        </w:rPr>
        <w:t>and the launch of the Integrated Safety Response pilot</w:t>
      </w:r>
      <w:r>
        <w:rPr>
          <w:sz w:val="22"/>
          <w:szCs w:val="22"/>
        </w:rPr>
        <w:t xml:space="preserve">, can be accessed at </w:t>
      </w:r>
      <w:r>
        <w:t>(</w:t>
      </w:r>
      <w:hyperlink r:id="rId15" w:tgtFrame="_blank" w:history="1">
        <w:r>
          <w:rPr>
            <w:rStyle w:val="Hyperlink"/>
          </w:rPr>
          <w:t>CEDAW/C/NZL/CO/8</w:t>
        </w:r>
      </w:hyperlink>
      <w:r>
        <w:t>)</w:t>
      </w:r>
      <w:r w:rsidRPr="00A972D1">
        <w:rPr>
          <w:sz w:val="22"/>
          <w:szCs w:val="22"/>
        </w:rPr>
        <w:t>.</w:t>
      </w:r>
      <w:r>
        <w:rPr>
          <w:sz w:val="22"/>
          <w:szCs w:val="22"/>
        </w:rPr>
        <w:t xml:space="preserve"> </w:t>
      </w:r>
    </w:p>
    <w:p w:rsidR="00CC40B0" w:rsidRPr="001F2713" w:rsidRDefault="004D522E" w:rsidP="00FE294D">
      <w:pPr>
        <w:spacing w:before="100" w:beforeAutospacing="1" w:after="100" w:afterAutospacing="1"/>
        <w:jc w:val="both"/>
        <w:rPr>
          <w:color w:val="0000FF"/>
        </w:rPr>
      </w:pPr>
      <w:r>
        <w:rPr>
          <w:rFonts w:ascii="Times New Roman" w:hAnsi="Times New Roman" w:cs="Times New Roman"/>
          <w:lang w:val="en-AU"/>
        </w:rPr>
        <w:lastRenderedPageBreak/>
        <w:t>In November t</w:t>
      </w:r>
      <w:r w:rsidR="00CC40B0">
        <w:rPr>
          <w:rFonts w:ascii="Times New Roman" w:hAnsi="Times New Roman" w:cs="Times New Roman"/>
          <w:lang w:val="en-AU"/>
        </w:rPr>
        <w:t xml:space="preserve">he </w:t>
      </w:r>
      <w:r w:rsidR="00CC40B0" w:rsidRPr="00CC40B0">
        <w:rPr>
          <w:rFonts w:ascii="Times New Roman" w:hAnsi="Times New Roman" w:cs="Times New Roman"/>
          <w:lang w:val="en-AU"/>
        </w:rPr>
        <w:t>Human Rights Committee adopt</w:t>
      </w:r>
      <w:r w:rsidR="00CC40B0">
        <w:rPr>
          <w:rFonts w:ascii="Times New Roman" w:hAnsi="Times New Roman" w:cs="Times New Roman"/>
          <w:lang w:val="en-AU"/>
        </w:rPr>
        <w:t>ed</w:t>
      </w:r>
      <w:r w:rsidR="00CC40B0" w:rsidRPr="00CC40B0">
        <w:rPr>
          <w:rFonts w:ascii="Times New Roman" w:hAnsi="Times New Roman" w:cs="Times New Roman"/>
          <w:b/>
          <w:lang w:val="en-AU"/>
        </w:rPr>
        <w:t xml:space="preserve"> General Comment </w:t>
      </w:r>
      <w:r w:rsidR="00CC40B0">
        <w:rPr>
          <w:rFonts w:ascii="Times New Roman" w:hAnsi="Times New Roman" w:cs="Times New Roman"/>
          <w:b/>
          <w:lang w:val="en-AU"/>
        </w:rPr>
        <w:t xml:space="preserve">36 </w:t>
      </w:r>
      <w:r w:rsidR="00CC40B0" w:rsidRPr="00CC40B0">
        <w:rPr>
          <w:rFonts w:ascii="Times New Roman" w:hAnsi="Times New Roman" w:cs="Times New Roman"/>
          <w:b/>
          <w:lang w:val="en-AU"/>
        </w:rPr>
        <w:t>on the right to life</w:t>
      </w:r>
      <w:r w:rsidR="00CC40B0" w:rsidRPr="00CC40B0">
        <w:rPr>
          <w:rFonts w:ascii="Times New Roman" w:hAnsi="Times New Roman" w:cs="Times New Roman"/>
          <w:lang w:val="en-GB"/>
        </w:rPr>
        <w:t xml:space="preserve"> </w:t>
      </w:r>
      <w:r w:rsidR="00CC40B0">
        <w:rPr>
          <w:rFonts w:ascii="Times New Roman" w:hAnsi="Times New Roman" w:cs="Times New Roman"/>
          <w:lang w:val="en-GB"/>
        </w:rPr>
        <w:t>i</w:t>
      </w:r>
      <w:r w:rsidR="00CC40B0" w:rsidRPr="00CC40B0">
        <w:rPr>
          <w:rStyle w:val="m2210628790352314292lblnewsfulltext"/>
          <w:rFonts w:ascii="Times New Roman" w:hAnsi="Times New Roman" w:cs="Times New Roman"/>
          <w:lang w:val="en-GB"/>
        </w:rPr>
        <w:t xml:space="preserve">n article 6 of the </w:t>
      </w:r>
      <w:hyperlink r:id="rId16" w:tgtFrame="_blank" w:history="1">
        <w:r w:rsidR="00CC40B0" w:rsidRPr="00CC40B0">
          <w:rPr>
            <w:rStyle w:val="Hyperlink"/>
            <w:rFonts w:ascii="Times New Roman" w:hAnsi="Times New Roman" w:cs="Times New Roman"/>
            <w:color w:val="auto"/>
            <w:u w:val="none"/>
            <w:lang w:val="en-GB"/>
          </w:rPr>
          <w:t>International Covenant on Civil and Political Rights</w:t>
        </w:r>
      </w:hyperlink>
      <w:r w:rsidR="00CC40B0" w:rsidRPr="00CC40B0">
        <w:rPr>
          <w:rStyle w:val="m2210628790352314292lblnewsfulltext"/>
          <w:rFonts w:ascii="Times New Roman" w:hAnsi="Times New Roman" w:cs="Times New Roman"/>
          <w:lang w:val="en-GB"/>
        </w:rPr>
        <w:t>, and provisionally decided that the topic of the next General Comment would be article 21 on the right to peaceful assembly. </w:t>
      </w:r>
      <w:r w:rsidR="00CC40B0">
        <w:rPr>
          <w:rStyle w:val="m2210628790352314292lblnewsfulltext"/>
          <w:rFonts w:ascii="Times New Roman" w:hAnsi="Times New Roman" w:cs="Times New Roman"/>
          <w:lang w:val="en-GB"/>
        </w:rPr>
        <w:t xml:space="preserve">The General Comment on the right to life </w:t>
      </w:r>
      <w:r w:rsidR="00CC40B0" w:rsidRPr="00CC40B0">
        <w:rPr>
          <w:rFonts w:ascii="Times New Roman" w:hAnsi="Times New Roman" w:cs="Times New Roman"/>
        </w:rPr>
        <w:t xml:space="preserve">is available at: </w:t>
      </w:r>
      <w:hyperlink r:id="rId17" w:history="1">
        <w:r w:rsidR="00CC40B0" w:rsidRPr="001F2713">
          <w:rPr>
            <w:rStyle w:val="Hyperlink"/>
            <w:rFonts w:ascii="Times New Roman" w:hAnsi="Times New Roman" w:cs="Times New Roman"/>
          </w:rPr>
          <w:t>http://www.refworld.org/docid/45388400a.html</w:t>
        </w:r>
      </w:hyperlink>
    </w:p>
    <w:p w:rsidR="004D522E" w:rsidRPr="001F2713" w:rsidRDefault="004D522E" w:rsidP="00FE294D">
      <w:pPr>
        <w:spacing w:before="100" w:beforeAutospacing="1" w:after="100" w:afterAutospacing="1"/>
        <w:jc w:val="both"/>
        <w:rPr>
          <w:rFonts w:ascii="Times New Roman" w:hAnsi="Times New Roman" w:cs="Times New Roman"/>
          <w:color w:val="0000FF"/>
        </w:rPr>
      </w:pPr>
      <w:r w:rsidRPr="004D522E">
        <w:rPr>
          <w:rFonts w:ascii="Times New Roman" w:hAnsi="Times New Roman" w:cs="Times New Roman"/>
        </w:rPr>
        <w:t xml:space="preserve">New Zealand’s third </w:t>
      </w:r>
      <w:r w:rsidRPr="004D522E">
        <w:rPr>
          <w:rFonts w:ascii="Times New Roman" w:hAnsi="Times New Roman" w:cs="Times New Roman"/>
          <w:b/>
        </w:rPr>
        <w:t>Universal Periodic Review</w:t>
      </w:r>
      <w:r w:rsidRPr="004D522E">
        <w:rPr>
          <w:rFonts w:ascii="Times New Roman" w:hAnsi="Times New Roman" w:cs="Times New Roman"/>
        </w:rPr>
        <w:t xml:space="preserve"> </w:t>
      </w:r>
      <w:r>
        <w:rPr>
          <w:rFonts w:ascii="Times New Roman" w:hAnsi="Times New Roman" w:cs="Times New Roman"/>
        </w:rPr>
        <w:t>took place in</w:t>
      </w:r>
      <w:r w:rsidRPr="004D522E">
        <w:rPr>
          <w:rFonts w:ascii="Times New Roman" w:hAnsi="Times New Roman" w:cs="Times New Roman"/>
        </w:rPr>
        <w:t xml:space="preserve"> January 2019. </w:t>
      </w:r>
      <w:r>
        <w:rPr>
          <w:rFonts w:ascii="Times New Roman" w:hAnsi="Times New Roman" w:cs="Times New Roman"/>
        </w:rPr>
        <w:t>A</w:t>
      </w:r>
      <w:r w:rsidRPr="004D522E">
        <w:rPr>
          <w:rFonts w:ascii="Times New Roman" w:hAnsi="Times New Roman" w:cs="Times New Roman"/>
        </w:rPr>
        <w:t xml:space="preserve"> five-yearly review of our domestic human rights record</w:t>
      </w:r>
      <w:r>
        <w:rPr>
          <w:rFonts w:ascii="Times New Roman" w:hAnsi="Times New Roman" w:cs="Times New Roman"/>
        </w:rPr>
        <w:t>, the Government’s report can be read at</w:t>
      </w:r>
      <w:r w:rsidRPr="004D522E">
        <w:t xml:space="preserve"> </w:t>
      </w:r>
      <w:r w:rsidRPr="001F2713">
        <w:rPr>
          <w:rFonts w:ascii="Times New Roman" w:hAnsi="Times New Roman" w:cs="Times New Roman"/>
          <w:color w:val="0000FF"/>
          <w:u w:val="single"/>
        </w:rPr>
        <w:t>http://www. mfat.govt.nz/assets/Uploads/New-Zealand-Third-National-UPR-Report-as-submitted-to-UN</w:t>
      </w:r>
    </w:p>
    <w:p w:rsidR="006D53A1" w:rsidRPr="00180B19" w:rsidRDefault="00540D10" w:rsidP="000C7282">
      <w:pPr>
        <w:spacing w:before="100" w:beforeAutospacing="1" w:after="100" w:afterAutospacing="1"/>
        <w:jc w:val="center"/>
        <w:rPr>
          <w:rFonts w:ascii="Times New Roman" w:hAnsi="Times New Roman" w:cs="Times New Roman"/>
          <w:b/>
          <w:sz w:val="24"/>
          <w:szCs w:val="24"/>
        </w:rPr>
      </w:pPr>
      <w:r w:rsidRPr="00180B19">
        <w:rPr>
          <w:rFonts w:ascii="Times New Roman" w:hAnsi="Times New Roman" w:cs="Times New Roman"/>
          <w:b/>
          <w:sz w:val="24"/>
          <w:szCs w:val="24"/>
        </w:rPr>
        <w:t>RECENT CASES</w:t>
      </w:r>
    </w:p>
    <w:p w:rsidR="00180B19" w:rsidRPr="00180B19" w:rsidRDefault="00FE294D" w:rsidP="00FE294D">
      <w:pPr>
        <w:spacing w:line="240" w:lineRule="auto"/>
        <w:jc w:val="both"/>
        <w:rPr>
          <w:rFonts w:ascii="Times New Roman" w:hAnsi="Times New Roman" w:cs="Times New Roman"/>
          <w:color w:val="5B9BD5" w:themeColor="accent1"/>
        </w:rPr>
      </w:pPr>
      <w:r w:rsidRPr="00180B19">
        <w:rPr>
          <w:rFonts w:ascii="Times New Roman" w:hAnsi="Times New Roman" w:cs="Times New Roman"/>
          <w:color w:val="5B9BD5" w:themeColor="accent1"/>
        </w:rPr>
        <w:t xml:space="preserve">Attorney-General </w:t>
      </w:r>
      <w:r w:rsidR="00737421" w:rsidRPr="00180B19">
        <w:rPr>
          <w:rFonts w:ascii="Times New Roman" w:hAnsi="Times New Roman" w:cs="Times New Roman"/>
          <w:color w:val="5B9BD5" w:themeColor="accent1"/>
        </w:rPr>
        <w:t>v Arthur William Taylor [2018] NZSC 104</w:t>
      </w:r>
      <w:r w:rsidR="00ED5996" w:rsidRPr="00180B19">
        <w:rPr>
          <w:rFonts w:ascii="Times New Roman" w:hAnsi="Times New Roman" w:cs="Times New Roman"/>
          <w:color w:val="5B9BD5" w:themeColor="accent1"/>
        </w:rPr>
        <w:t xml:space="preserve"> </w:t>
      </w:r>
    </w:p>
    <w:p w:rsidR="00AE6B0C" w:rsidRDefault="00FD51F0" w:rsidP="00FE294D">
      <w:pPr>
        <w:spacing w:line="240" w:lineRule="auto"/>
        <w:jc w:val="both"/>
        <w:rPr>
          <w:rFonts w:ascii="Times New Roman" w:hAnsi="Times New Roman" w:cs="Times New Roman"/>
          <w:i/>
        </w:rPr>
      </w:pPr>
      <w:r>
        <w:rPr>
          <w:rFonts w:ascii="Times New Roman" w:hAnsi="Times New Roman" w:cs="Times New Roman"/>
          <w:i/>
        </w:rPr>
        <w:t>Can</w:t>
      </w:r>
      <w:r w:rsidR="00ED5996" w:rsidRPr="00ED5996">
        <w:rPr>
          <w:rFonts w:ascii="Times New Roman" w:hAnsi="Times New Roman" w:cs="Times New Roman"/>
          <w:i/>
        </w:rPr>
        <w:t xml:space="preserve"> the courts</w:t>
      </w:r>
      <w:r>
        <w:rPr>
          <w:rFonts w:ascii="Times New Roman" w:hAnsi="Times New Roman" w:cs="Times New Roman"/>
          <w:i/>
        </w:rPr>
        <w:t xml:space="preserve"> </w:t>
      </w:r>
      <w:r w:rsidR="00ED5996" w:rsidRPr="00ED5996">
        <w:rPr>
          <w:rFonts w:ascii="Times New Roman" w:hAnsi="Times New Roman" w:cs="Times New Roman"/>
          <w:i/>
        </w:rPr>
        <w:t xml:space="preserve">issue </w:t>
      </w:r>
      <w:r w:rsidR="00ED5996">
        <w:rPr>
          <w:rFonts w:ascii="Times New Roman" w:hAnsi="Times New Roman" w:cs="Times New Roman"/>
          <w:i/>
        </w:rPr>
        <w:t xml:space="preserve">a </w:t>
      </w:r>
      <w:r w:rsidR="00ED5996" w:rsidRPr="00ED5996">
        <w:rPr>
          <w:rFonts w:ascii="Times New Roman" w:hAnsi="Times New Roman" w:cs="Times New Roman"/>
          <w:i/>
        </w:rPr>
        <w:t>declaration of inconsistency</w:t>
      </w:r>
      <w:r>
        <w:rPr>
          <w:rFonts w:ascii="Times New Roman" w:hAnsi="Times New Roman" w:cs="Times New Roman"/>
          <w:i/>
        </w:rPr>
        <w:t>?</w:t>
      </w:r>
      <w:r w:rsidR="00ED5996" w:rsidRPr="00ED5996">
        <w:rPr>
          <w:rFonts w:ascii="Times New Roman" w:hAnsi="Times New Roman" w:cs="Times New Roman"/>
          <w:i/>
        </w:rPr>
        <w:t xml:space="preserve"> </w:t>
      </w:r>
    </w:p>
    <w:p w:rsidR="001700C8" w:rsidRDefault="00ED5996" w:rsidP="00FE294D">
      <w:pPr>
        <w:spacing w:line="240" w:lineRule="auto"/>
        <w:jc w:val="both"/>
        <w:rPr>
          <w:rFonts w:ascii="Times New Roman" w:hAnsi="Times New Roman" w:cs="Times New Roman"/>
        </w:rPr>
      </w:pPr>
      <w:r>
        <w:rPr>
          <w:rFonts w:ascii="Times New Roman" w:hAnsi="Times New Roman" w:cs="Times New Roman"/>
        </w:rPr>
        <w:t>This case</w:t>
      </w:r>
      <w:r w:rsidR="00FD51F0">
        <w:rPr>
          <w:rFonts w:ascii="Times New Roman" w:hAnsi="Times New Roman" w:cs="Times New Roman"/>
        </w:rPr>
        <w:t>,</w:t>
      </w:r>
      <w:r>
        <w:rPr>
          <w:rFonts w:ascii="Times New Roman" w:hAnsi="Times New Roman" w:cs="Times New Roman"/>
        </w:rPr>
        <w:t xml:space="preserve"> </w:t>
      </w:r>
      <w:r w:rsidR="003A3064">
        <w:rPr>
          <w:rFonts w:ascii="Times New Roman" w:hAnsi="Times New Roman" w:cs="Times New Roman"/>
        </w:rPr>
        <w:t>which has been eagerly awaited by public law scholars</w:t>
      </w:r>
      <w:r w:rsidR="00FD51F0">
        <w:rPr>
          <w:rFonts w:ascii="Times New Roman" w:hAnsi="Times New Roman" w:cs="Times New Roman"/>
        </w:rPr>
        <w:t>,</w:t>
      </w:r>
      <w:r w:rsidR="003A3064">
        <w:rPr>
          <w:rFonts w:ascii="Times New Roman" w:hAnsi="Times New Roman" w:cs="Times New Roman"/>
        </w:rPr>
        <w:t xml:space="preserve"> involve</w:t>
      </w:r>
      <w:r w:rsidR="008E5278">
        <w:rPr>
          <w:rFonts w:ascii="Times New Roman" w:hAnsi="Times New Roman" w:cs="Times New Roman"/>
        </w:rPr>
        <w:t>d</w:t>
      </w:r>
      <w:r w:rsidR="003A3064">
        <w:rPr>
          <w:rFonts w:ascii="Times New Roman" w:hAnsi="Times New Roman" w:cs="Times New Roman"/>
        </w:rPr>
        <w:t xml:space="preserve"> </w:t>
      </w:r>
      <w:r w:rsidR="008E5278">
        <w:rPr>
          <w:rFonts w:ascii="Times New Roman" w:hAnsi="Times New Roman" w:cs="Times New Roman"/>
        </w:rPr>
        <w:t>the issue of whet</w:t>
      </w:r>
      <w:r w:rsidR="003A3064">
        <w:rPr>
          <w:rFonts w:ascii="Times New Roman" w:hAnsi="Times New Roman" w:cs="Times New Roman"/>
        </w:rPr>
        <w:t>her the High Court ha</w:t>
      </w:r>
      <w:r w:rsidR="008E5278">
        <w:rPr>
          <w:rFonts w:ascii="Times New Roman" w:hAnsi="Times New Roman" w:cs="Times New Roman"/>
        </w:rPr>
        <w:t>d</w:t>
      </w:r>
      <w:r w:rsidR="003A3064">
        <w:rPr>
          <w:rFonts w:ascii="Times New Roman" w:hAnsi="Times New Roman" w:cs="Times New Roman"/>
        </w:rPr>
        <w:t xml:space="preserve"> the power to make a declaration that legislation is inconsistent with the provision of the NZBORA. </w:t>
      </w:r>
    </w:p>
    <w:p w:rsidR="007B6A11" w:rsidRDefault="003A3064" w:rsidP="00FE294D">
      <w:pPr>
        <w:spacing w:line="240" w:lineRule="auto"/>
        <w:jc w:val="both"/>
        <w:rPr>
          <w:rFonts w:ascii="Times New Roman" w:hAnsi="Times New Roman" w:cs="Times New Roman"/>
        </w:rPr>
      </w:pPr>
      <w:r>
        <w:rPr>
          <w:rFonts w:ascii="Times New Roman" w:hAnsi="Times New Roman" w:cs="Times New Roman"/>
        </w:rPr>
        <w:t xml:space="preserve">The </w:t>
      </w:r>
      <w:r w:rsidR="00180B19">
        <w:rPr>
          <w:rFonts w:ascii="Times New Roman" w:hAnsi="Times New Roman" w:cs="Times New Roman"/>
        </w:rPr>
        <w:t>matter</w:t>
      </w:r>
      <w:r>
        <w:rPr>
          <w:rFonts w:ascii="Times New Roman" w:hAnsi="Times New Roman" w:cs="Times New Roman"/>
        </w:rPr>
        <w:t xml:space="preserve"> ar</w:t>
      </w:r>
      <w:r w:rsidR="00393EA4">
        <w:rPr>
          <w:rFonts w:ascii="Times New Roman" w:hAnsi="Times New Roman" w:cs="Times New Roman"/>
        </w:rPr>
        <w:t>o</w:t>
      </w:r>
      <w:r>
        <w:rPr>
          <w:rFonts w:ascii="Times New Roman" w:hAnsi="Times New Roman" w:cs="Times New Roman"/>
        </w:rPr>
        <w:t>s</w:t>
      </w:r>
      <w:r w:rsidR="00393EA4">
        <w:rPr>
          <w:rFonts w:ascii="Times New Roman" w:hAnsi="Times New Roman" w:cs="Times New Roman"/>
        </w:rPr>
        <w:t>e</w:t>
      </w:r>
      <w:r>
        <w:rPr>
          <w:rFonts w:ascii="Times New Roman" w:hAnsi="Times New Roman" w:cs="Times New Roman"/>
        </w:rPr>
        <w:t xml:space="preserve"> out of litigation following the enactment of the Electoral (Disqualification of Sentenced Prisoners) Amendment Act (the 2010 Act). </w:t>
      </w:r>
      <w:r w:rsidR="001700C8">
        <w:rPr>
          <w:rFonts w:ascii="Times New Roman" w:hAnsi="Times New Roman" w:cs="Times New Roman"/>
        </w:rPr>
        <w:t xml:space="preserve">The applicants were prisoners who claimed they had been unlawfully barred from voting in parliamentary elections. They took an action against the Attorney-General (who is responsible for exercising powers, duties and functions subject to the NZBORA) </w:t>
      </w:r>
      <w:r w:rsidR="00F85F0E">
        <w:rPr>
          <w:rFonts w:ascii="Times New Roman" w:hAnsi="Times New Roman" w:cs="Times New Roman"/>
        </w:rPr>
        <w:t>arguing the legislation was inconsi</w:t>
      </w:r>
      <w:r w:rsidR="007B6A11">
        <w:rPr>
          <w:rFonts w:ascii="Times New Roman" w:hAnsi="Times New Roman" w:cs="Times New Roman"/>
        </w:rPr>
        <w:t>st</w:t>
      </w:r>
      <w:r w:rsidR="00F85F0E">
        <w:rPr>
          <w:rFonts w:ascii="Times New Roman" w:hAnsi="Times New Roman" w:cs="Times New Roman"/>
        </w:rPr>
        <w:t xml:space="preserve">ent with </w:t>
      </w:r>
      <w:r w:rsidR="007B6A11">
        <w:rPr>
          <w:rFonts w:ascii="Times New Roman" w:hAnsi="Times New Roman" w:cs="Times New Roman"/>
        </w:rPr>
        <w:t xml:space="preserve">the right to vote in s.12 </w:t>
      </w:r>
      <w:r w:rsidR="00F85F0E">
        <w:rPr>
          <w:rFonts w:ascii="Times New Roman" w:hAnsi="Times New Roman" w:cs="Times New Roman"/>
        </w:rPr>
        <w:t>o</w:t>
      </w:r>
      <w:r w:rsidR="007B6A11">
        <w:rPr>
          <w:rFonts w:ascii="Times New Roman" w:hAnsi="Times New Roman" w:cs="Times New Roman"/>
        </w:rPr>
        <w:t>f</w:t>
      </w:r>
      <w:r w:rsidR="00F85F0E">
        <w:rPr>
          <w:rFonts w:ascii="Times New Roman" w:hAnsi="Times New Roman" w:cs="Times New Roman"/>
        </w:rPr>
        <w:t xml:space="preserve"> the NZBORA</w:t>
      </w:r>
      <w:r w:rsidR="007B6A11">
        <w:rPr>
          <w:rFonts w:ascii="Times New Roman" w:hAnsi="Times New Roman" w:cs="Times New Roman"/>
        </w:rPr>
        <w:t>. At the High Court, Heath J made a declaration that</w:t>
      </w:r>
      <w:r w:rsidR="00C2216F">
        <w:rPr>
          <w:rFonts w:ascii="Times New Roman" w:hAnsi="Times New Roman" w:cs="Times New Roman"/>
        </w:rPr>
        <w:t>:</w:t>
      </w:r>
      <w:r w:rsidR="00C2216F">
        <w:rPr>
          <w:rStyle w:val="FootnoteReference"/>
          <w:rFonts w:ascii="Times New Roman" w:hAnsi="Times New Roman" w:cs="Times New Roman"/>
        </w:rPr>
        <w:footnoteReference w:id="1"/>
      </w:r>
      <w:r w:rsidR="007B6A11">
        <w:rPr>
          <w:rFonts w:ascii="Times New Roman" w:hAnsi="Times New Roman" w:cs="Times New Roman"/>
        </w:rPr>
        <w:t xml:space="preserve"> </w:t>
      </w:r>
    </w:p>
    <w:p w:rsidR="007B6A11" w:rsidRDefault="007B6A11" w:rsidP="00C2216F">
      <w:pPr>
        <w:spacing w:line="240" w:lineRule="auto"/>
        <w:ind w:left="720" w:right="662"/>
        <w:jc w:val="both"/>
        <w:rPr>
          <w:rFonts w:ascii="Times New Roman" w:hAnsi="Times New Roman" w:cs="Times New Roman"/>
        </w:rPr>
      </w:pPr>
      <w:r w:rsidRPr="00D73056">
        <w:rPr>
          <w:rFonts w:ascii="Times New Roman" w:hAnsi="Times New Roman" w:cs="Times New Roman"/>
          <w:i/>
        </w:rPr>
        <w:t>Section 80(1)(d) of the Electoral Act 1993 (as amended by the Electoral (Disqualification of Sentenced Prisoners) Amendment Act 2010) is inconsistent with the right to vote affirmed and guaranteed in s. 12(a) of the New Zealand Bill of Rights Act 1990 and cannot be justified under s.5 of that Act</w:t>
      </w:r>
      <w:r w:rsidR="00C2216F">
        <w:rPr>
          <w:rFonts w:ascii="Times New Roman" w:hAnsi="Times New Roman" w:cs="Times New Roman"/>
        </w:rPr>
        <w:t xml:space="preserve">. </w:t>
      </w:r>
      <w:r>
        <w:rPr>
          <w:rFonts w:ascii="Times New Roman" w:hAnsi="Times New Roman" w:cs="Times New Roman"/>
        </w:rPr>
        <w:t xml:space="preserve">   </w:t>
      </w:r>
    </w:p>
    <w:p w:rsidR="00ED5996" w:rsidRPr="00ED5996" w:rsidRDefault="007B6A11" w:rsidP="00FE294D">
      <w:pPr>
        <w:spacing w:line="240" w:lineRule="auto"/>
        <w:jc w:val="both"/>
        <w:rPr>
          <w:rFonts w:ascii="Times New Roman" w:hAnsi="Times New Roman" w:cs="Times New Roman"/>
        </w:rPr>
      </w:pPr>
      <w:r>
        <w:rPr>
          <w:rFonts w:ascii="Times New Roman" w:hAnsi="Times New Roman" w:cs="Times New Roman"/>
        </w:rPr>
        <w:t xml:space="preserve">The Attorney-General </w:t>
      </w:r>
      <w:r w:rsidR="00C2216F">
        <w:rPr>
          <w:rFonts w:ascii="Times New Roman" w:hAnsi="Times New Roman" w:cs="Times New Roman"/>
        </w:rPr>
        <w:t>appeal</w:t>
      </w:r>
      <w:r w:rsidR="00393EA4">
        <w:rPr>
          <w:rFonts w:ascii="Times New Roman" w:hAnsi="Times New Roman" w:cs="Times New Roman"/>
        </w:rPr>
        <w:t>ed</w:t>
      </w:r>
      <w:r w:rsidR="00180B19">
        <w:rPr>
          <w:rFonts w:ascii="Times New Roman" w:hAnsi="Times New Roman" w:cs="Times New Roman"/>
        </w:rPr>
        <w:t>,</w:t>
      </w:r>
      <w:r w:rsidR="00393EA4">
        <w:rPr>
          <w:rFonts w:ascii="Times New Roman" w:hAnsi="Times New Roman" w:cs="Times New Roman"/>
        </w:rPr>
        <w:t xml:space="preserve"> arguing </w:t>
      </w:r>
      <w:r w:rsidR="00C2216F">
        <w:rPr>
          <w:rFonts w:ascii="Times New Roman" w:hAnsi="Times New Roman" w:cs="Times New Roman"/>
        </w:rPr>
        <w:t>that the Court had no jurisdiction to make the declaration. The Court of Appeal dismissed the appeal</w:t>
      </w:r>
      <w:r w:rsidR="00393EA4">
        <w:rPr>
          <w:rFonts w:ascii="Times New Roman" w:hAnsi="Times New Roman" w:cs="Times New Roman"/>
        </w:rPr>
        <w:t>,</w:t>
      </w:r>
      <w:r w:rsidR="00C2216F">
        <w:rPr>
          <w:rFonts w:ascii="Times New Roman" w:hAnsi="Times New Roman" w:cs="Times New Roman"/>
        </w:rPr>
        <w:t xml:space="preserve"> </w:t>
      </w:r>
      <w:r w:rsidR="00104B45">
        <w:rPr>
          <w:rFonts w:ascii="Times New Roman" w:hAnsi="Times New Roman" w:cs="Times New Roman"/>
        </w:rPr>
        <w:t>consideri</w:t>
      </w:r>
      <w:r w:rsidR="00C2216F">
        <w:rPr>
          <w:rFonts w:ascii="Times New Roman" w:hAnsi="Times New Roman" w:cs="Times New Roman"/>
        </w:rPr>
        <w:t xml:space="preserve">ng that </w:t>
      </w:r>
      <w:r w:rsidR="00104B45">
        <w:rPr>
          <w:rFonts w:ascii="Times New Roman" w:hAnsi="Times New Roman" w:cs="Times New Roman"/>
        </w:rPr>
        <w:t>i</w:t>
      </w:r>
      <w:r w:rsidR="00C2216F">
        <w:rPr>
          <w:rFonts w:ascii="Times New Roman" w:hAnsi="Times New Roman" w:cs="Times New Roman"/>
        </w:rPr>
        <w:t>t</w:t>
      </w:r>
      <w:r w:rsidR="00104B45">
        <w:rPr>
          <w:rFonts w:ascii="Times New Roman" w:hAnsi="Times New Roman" w:cs="Times New Roman"/>
        </w:rPr>
        <w:t xml:space="preserve"> had</w:t>
      </w:r>
      <w:r w:rsidR="00C2216F">
        <w:rPr>
          <w:rFonts w:ascii="Times New Roman" w:hAnsi="Times New Roman" w:cs="Times New Roman"/>
        </w:rPr>
        <w:t xml:space="preserve"> the power to make a declaration </w:t>
      </w:r>
      <w:r w:rsidR="00104B45">
        <w:rPr>
          <w:rFonts w:ascii="Times New Roman" w:hAnsi="Times New Roman" w:cs="Times New Roman"/>
        </w:rPr>
        <w:t>and</w:t>
      </w:r>
      <w:r w:rsidR="00C2216F">
        <w:rPr>
          <w:rFonts w:ascii="Times New Roman" w:hAnsi="Times New Roman" w:cs="Times New Roman"/>
        </w:rPr>
        <w:t xml:space="preserve"> that it was not unreasonable to </w:t>
      </w:r>
      <w:r w:rsidR="008419B7">
        <w:rPr>
          <w:rFonts w:ascii="Times New Roman" w:hAnsi="Times New Roman" w:cs="Times New Roman"/>
        </w:rPr>
        <w:t>do s</w:t>
      </w:r>
      <w:r w:rsidR="00C2216F">
        <w:rPr>
          <w:rFonts w:ascii="Times New Roman" w:hAnsi="Times New Roman" w:cs="Times New Roman"/>
        </w:rPr>
        <w:t>o in this case.</w:t>
      </w:r>
      <w:r w:rsidR="00C2216F">
        <w:rPr>
          <w:rStyle w:val="FootnoteReference"/>
          <w:rFonts w:ascii="Times New Roman" w:hAnsi="Times New Roman" w:cs="Times New Roman"/>
        </w:rPr>
        <w:footnoteReference w:id="2"/>
      </w:r>
      <w:r w:rsidR="00C2216F">
        <w:rPr>
          <w:rFonts w:ascii="Times New Roman" w:hAnsi="Times New Roman" w:cs="Times New Roman"/>
        </w:rPr>
        <w:t xml:space="preserve"> </w:t>
      </w:r>
    </w:p>
    <w:p w:rsidR="00104B45" w:rsidRDefault="005718AF" w:rsidP="005718AF">
      <w:pPr>
        <w:spacing w:line="240" w:lineRule="auto"/>
        <w:jc w:val="both"/>
        <w:rPr>
          <w:rFonts w:ascii="Times New Roman" w:hAnsi="Times New Roman" w:cs="Times New Roman"/>
        </w:rPr>
      </w:pPr>
      <w:r w:rsidRPr="005718AF">
        <w:rPr>
          <w:rFonts w:ascii="Times New Roman" w:hAnsi="Times New Roman" w:cs="Times New Roman"/>
        </w:rPr>
        <w:t xml:space="preserve">Section 7 of the </w:t>
      </w:r>
      <w:hyperlink r:id="rId18" w:tooltip="New Zealand Bill of Rights Act 1990" w:history="1">
        <w:r w:rsidRPr="005718AF">
          <w:rPr>
            <w:rStyle w:val="Hyperlink"/>
            <w:rFonts w:ascii="Times New Roman" w:hAnsi="Times New Roman" w:cs="Times New Roman"/>
            <w:color w:val="auto"/>
            <w:u w:val="none"/>
          </w:rPr>
          <w:t>Bill of Rights Act</w:t>
        </w:r>
      </w:hyperlink>
      <w:r w:rsidRPr="005718AF">
        <w:rPr>
          <w:rFonts w:ascii="Times New Roman" w:hAnsi="Times New Roman" w:cs="Times New Roman"/>
        </w:rPr>
        <w:t xml:space="preserve"> requires the Attorney-General to draw to the attention of Parliament the introduction of any Bill that is inconsistent with the Act. </w:t>
      </w:r>
      <w:r w:rsidR="00FD51F0">
        <w:rPr>
          <w:rFonts w:ascii="Times New Roman" w:hAnsi="Times New Roman" w:cs="Times New Roman"/>
        </w:rPr>
        <w:t xml:space="preserve">In relation to this legislation the Attorney General had found that the legislation </w:t>
      </w:r>
      <w:r w:rsidR="00104B45">
        <w:rPr>
          <w:rFonts w:ascii="Times New Roman" w:hAnsi="Times New Roman" w:cs="Times New Roman"/>
        </w:rPr>
        <w:t xml:space="preserve">did not amount to </w:t>
      </w:r>
      <w:r w:rsidR="00FD51F0">
        <w:rPr>
          <w:rFonts w:ascii="Times New Roman" w:hAnsi="Times New Roman" w:cs="Times New Roman"/>
        </w:rPr>
        <w:t xml:space="preserve">a justifiable limit. However, that did not impact on the current analysis, </w:t>
      </w:r>
      <w:r w:rsidR="00C850C5">
        <w:rPr>
          <w:rFonts w:ascii="Times New Roman" w:hAnsi="Times New Roman" w:cs="Times New Roman"/>
        </w:rPr>
        <w:t>the majority of t</w:t>
      </w:r>
      <w:r w:rsidR="00FD51F0">
        <w:rPr>
          <w:rFonts w:ascii="Times New Roman" w:hAnsi="Times New Roman" w:cs="Times New Roman"/>
        </w:rPr>
        <w:t xml:space="preserve">he Supreme Court finding that there was a power to make a declaration of inconsistency and was consistent with judicial function: at [65]. </w:t>
      </w:r>
    </w:p>
    <w:p w:rsidR="00245E37" w:rsidRDefault="00104B45" w:rsidP="005718AF">
      <w:pPr>
        <w:spacing w:line="240" w:lineRule="auto"/>
        <w:jc w:val="both"/>
        <w:rPr>
          <w:rFonts w:ascii="Times New Roman" w:hAnsi="Times New Roman" w:cs="Times New Roman"/>
        </w:rPr>
      </w:pPr>
      <w:r>
        <w:rPr>
          <w:rFonts w:ascii="Times New Roman" w:hAnsi="Times New Roman" w:cs="Times New Roman"/>
        </w:rPr>
        <w:t>T</w:t>
      </w:r>
      <w:r w:rsidR="00245E37">
        <w:rPr>
          <w:rFonts w:ascii="Times New Roman" w:hAnsi="Times New Roman" w:cs="Times New Roman"/>
        </w:rPr>
        <w:t>he Attorney-General had argued that making such a declaration was outside proper judicial function because t</w:t>
      </w:r>
      <w:r>
        <w:rPr>
          <w:rFonts w:ascii="Times New Roman" w:hAnsi="Times New Roman" w:cs="Times New Roman"/>
        </w:rPr>
        <w:t>he Court’</w:t>
      </w:r>
      <w:r w:rsidR="00245E37">
        <w:rPr>
          <w:rFonts w:ascii="Times New Roman" w:hAnsi="Times New Roman" w:cs="Times New Roman"/>
        </w:rPr>
        <w:t xml:space="preserve">s function was adjudicatory rather than advisory </w:t>
      </w:r>
      <w:r>
        <w:rPr>
          <w:rFonts w:ascii="Times New Roman" w:hAnsi="Times New Roman" w:cs="Times New Roman"/>
        </w:rPr>
        <w:t>since</w:t>
      </w:r>
      <w:r w:rsidR="00245E37">
        <w:rPr>
          <w:rFonts w:ascii="Times New Roman" w:hAnsi="Times New Roman" w:cs="Times New Roman"/>
        </w:rPr>
        <w:t xml:space="preserve"> there was no ability to provide a remedy.</w:t>
      </w:r>
      <w:r w:rsidR="0077630F">
        <w:rPr>
          <w:rFonts w:ascii="Times New Roman" w:hAnsi="Times New Roman" w:cs="Times New Roman"/>
        </w:rPr>
        <w:t xml:space="preserve"> </w:t>
      </w:r>
      <w:r w:rsidR="00245E37">
        <w:rPr>
          <w:rFonts w:ascii="Times New Roman" w:hAnsi="Times New Roman" w:cs="Times New Roman"/>
        </w:rPr>
        <w:t xml:space="preserve">The Chief Justice </w:t>
      </w:r>
      <w:r w:rsidR="0077630F">
        <w:rPr>
          <w:rFonts w:ascii="Times New Roman" w:hAnsi="Times New Roman" w:cs="Times New Roman"/>
        </w:rPr>
        <w:t>said</w:t>
      </w:r>
      <w:r>
        <w:rPr>
          <w:rFonts w:ascii="Times New Roman" w:hAnsi="Times New Roman" w:cs="Times New Roman"/>
        </w:rPr>
        <w:t xml:space="preserve">: </w:t>
      </w:r>
    </w:p>
    <w:p w:rsidR="0004502C" w:rsidRDefault="00245E37" w:rsidP="00245E37">
      <w:pPr>
        <w:spacing w:line="240" w:lineRule="auto"/>
        <w:ind w:left="720" w:right="521"/>
        <w:jc w:val="both"/>
        <w:rPr>
          <w:rFonts w:ascii="Times New Roman" w:hAnsi="Times New Roman" w:cs="Times New Roman"/>
        </w:rPr>
      </w:pPr>
      <w:r w:rsidRPr="00245E37">
        <w:rPr>
          <w:rFonts w:ascii="Times New Roman" w:hAnsi="Times New Roman" w:cs="Times New Roman"/>
          <w:i/>
        </w:rPr>
        <w:t>…</w:t>
      </w:r>
      <w:r w:rsidR="0077630F" w:rsidRPr="00245E37">
        <w:rPr>
          <w:rFonts w:ascii="Times New Roman" w:hAnsi="Times New Roman" w:cs="Times New Roman"/>
          <w:i/>
        </w:rPr>
        <w:t xml:space="preserve"> the scheme of the NZBORA makes it clear that inconsistency with rights is indeed itself a question of right for which declaratory relief may be sought</w:t>
      </w:r>
      <w:r w:rsidRPr="00245E37">
        <w:rPr>
          <w:rFonts w:ascii="Times New Roman" w:hAnsi="Times New Roman" w:cs="Times New Roman"/>
          <w:i/>
        </w:rPr>
        <w:t xml:space="preserve"> …declaration of right is available if inconsistency is a result of executive or judicial action. In such cases declaratory relief may well be in addition to other relief, but will be especially important where no other relief is available…Otherwise there is a rule of law deficit, in relation not only to inconsistency with the right but in relation to absence of justification</w:t>
      </w:r>
      <w:r>
        <w:rPr>
          <w:rFonts w:ascii="Times New Roman" w:hAnsi="Times New Roman" w:cs="Times New Roman"/>
        </w:rPr>
        <w:t>.</w:t>
      </w:r>
      <w:r w:rsidR="00104B45" w:rsidRPr="00104B45">
        <w:rPr>
          <w:rStyle w:val="FootnoteReference"/>
          <w:rFonts w:ascii="Times New Roman" w:hAnsi="Times New Roman" w:cs="Times New Roman"/>
        </w:rPr>
        <w:t xml:space="preserve"> </w:t>
      </w:r>
      <w:r w:rsidR="00104B45">
        <w:rPr>
          <w:rStyle w:val="FootnoteReference"/>
          <w:rFonts w:ascii="Times New Roman" w:hAnsi="Times New Roman" w:cs="Times New Roman"/>
        </w:rPr>
        <w:footnoteReference w:id="3"/>
      </w:r>
      <w:r w:rsidR="00104B45">
        <w:rPr>
          <w:rFonts w:ascii="Times New Roman" w:hAnsi="Times New Roman" w:cs="Times New Roman"/>
        </w:rPr>
        <w:t xml:space="preserve"> </w:t>
      </w:r>
      <w:r>
        <w:rPr>
          <w:rFonts w:ascii="Times New Roman" w:hAnsi="Times New Roman" w:cs="Times New Roman"/>
        </w:rPr>
        <w:t xml:space="preserve">   </w:t>
      </w:r>
      <w:r w:rsidR="0077630F">
        <w:rPr>
          <w:rFonts w:ascii="Times New Roman" w:hAnsi="Times New Roman" w:cs="Times New Roman"/>
        </w:rPr>
        <w:t xml:space="preserve"> </w:t>
      </w:r>
    </w:p>
    <w:p w:rsidR="00245E37" w:rsidRDefault="00B83A72" w:rsidP="00B83A72">
      <w:pPr>
        <w:spacing w:line="240" w:lineRule="auto"/>
        <w:ind w:right="-46"/>
        <w:jc w:val="both"/>
        <w:rPr>
          <w:rFonts w:ascii="Times New Roman" w:hAnsi="Times New Roman" w:cs="Times New Roman"/>
        </w:rPr>
      </w:pPr>
      <w:r>
        <w:rPr>
          <w:rFonts w:ascii="Times New Roman" w:hAnsi="Times New Roman" w:cs="Times New Roman"/>
        </w:rPr>
        <w:lastRenderedPageBreak/>
        <w:t>In such circumstances</w:t>
      </w:r>
      <w:r w:rsidR="00245E37">
        <w:rPr>
          <w:rFonts w:ascii="Times New Roman" w:hAnsi="Times New Roman" w:cs="Times New Roman"/>
        </w:rPr>
        <w:t xml:space="preserve">, she went on, </w:t>
      </w:r>
      <w:r>
        <w:rPr>
          <w:rFonts w:ascii="Times New Roman" w:hAnsi="Times New Roman" w:cs="Times New Roman"/>
        </w:rPr>
        <w:t xml:space="preserve">the declaration </w:t>
      </w:r>
      <w:r w:rsidR="00245E37">
        <w:rPr>
          <w:rFonts w:ascii="Times New Roman" w:hAnsi="Times New Roman" w:cs="Times New Roman"/>
        </w:rPr>
        <w:t>is an available remedy for acts of the legislature constituting unjustified infringement of rights</w:t>
      </w:r>
      <w:r>
        <w:rPr>
          <w:rFonts w:ascii="Times New Roman" w:hAnsi="Times New Roman" w:cs="Times New Roman"/>
        </w:rPr>
        <w:t>.</w:t>
      </w:r>
      <w:r w:rsidR="00245E37">
        <w:rPr>
          <w:rFonts w:ascii="Times New Roman" w:hAnsi="Times New Roman" w:cs="Times New Roman"/>
        </w:rPr>
        <w:t xml:space="preserve"> </w:t>
      </w:r>
      <w:r>
        <w:rPr>
          <w:rFonts w:ascii="Times New Roman" w:hAnsi="Times New Roman" w:cs="Times New Roman"/>
        </w:rPr>
        <w:t xml:space="preserve">It was the only response available for denial of the right to vote in circumstances which were acknowledged as unable to be justified. </w:t>
      </w:r>
    </w:p>
    <w:p w:rsidR="00B83A72" w:rsidRPr="005718AF" w:rsidRDefault="00B83A72" w:rsidP="00B83A72">
      <w:pPr>
        <w:spacing w:line="240" w:lineRule="auto"/>
        <w:ind w:right="-46"/>
        <w:jc w:val="both"/>
        <w:rPr>
          <w:rFonts w:ascii="Times New Roman" w:hAnsi="Times New Roman" w:cs="Times New Roman"/>
        </w:rPr>
      </w:pPr>
      <w:r>
        <w:rPr>
          <w:rFonts w:ascii="Times New Roman" w:hAnsi="Times New Roman" w:cs="Times New Roman"/>
        </w:rPr>
        <w:t xml:space="preserve">William Young and </w:t>
      </w:r>
      <w:proofErr w:type="spellStart"/>
      <w:r>
        <w:rPr>
          <w:rFonts w:ascii="Times New Roman" w:hAnsi="Times New Roman" w:cs="Times New Roman"/>
        </w:rPr>
        <w:t>O’Regan</w:t>
      </w:r>
      <w:proofErr w:type="spellEnd"/>
      <w:r>
        <w:rPr>
          <w:rFonts w:ascii="Times New Roman" w:hAnsi="Times New Roman" w:cs="Times New Roman"/>
        </w:rPr>
        <w:t xml:space="preserve"> JJ disagreed and would have allowed the Attorney</w:t>
      </w:r>
      <w:r w:rsidR="008419B7">
        <w:rPr>
          <w:rFonts w:ascii="Times New Roman" w:hAnsi="Times New Roman" w:cs="Times New Roman"/>
        </w:rPr>
        <w:t>-G</w:t>
      </w:r>
      <w:r>
        <w:rPr>
          <w:rFonts w:ascii="Times New Roman" w:hAnsi="Times New Roman" w:cs="Times New Roman"/>
        </w:rPr>
        <w:t>eneral’s appeal</w:t>
      </w:r>
      <w:r w:rsidR="008419B7">
        <w:rPr>
          <w:rFonts w:ascii="Times New Roman" w:hAnsi="Times New Roman" w:cs="Times New Roman"/>
        </w:rPr>
        <w:t>,</w:t>
      </w:r>
      <w:r>
        <w:rPr>
          <w:rFonts w:ascii="Times New Roman" w:hAnsi="Times New Roman" w:cs="Times New Roman"/>
        </w:rPr>
        <w:t xml:space="preserve"> setting aside </w:t>
      </w:r>
      <w:r w:rsidR="008419B7">
        <w:rPr>
          <w:rFonts w:ascii="Times New Roman" w:hAnsi="Times New Roman" w:cs="Times New Roman"/>
        </w:rPr>
        <w:t>t</w:t>
      </w:r>
      <w:r>
        <w:rPr>
          <w:rFonts w:ascii="Times New Roman" w:hAnsi="Times New Roman" w:cs="Times New Roman"/>
        </w:rPr>
        <w:t xml:space="preserve">he </w:t>
      </w:r>
      <w:r w:rsidR="008419B7">
        <w:rPr>
          <w:rFonts w:ascii="Times New Roman" w:hAnsi="Times New Roman" w:cs="Times New Roman"/>
        </w:rPr>
        <w:t xml:space="preserve">High Court’s </w:t>
      </w:r>
      <w:r>
        <w:rPr>
          <w:rFonts w:ascii="Times New Roman" w:hAnsi="Times New Roman" w:cs="Times New Roman"/>
        </w:rPr>
        <w:t xml:space="preserve">declaration. </w:t>
      </w:r>
    </w:p>
    <w:p w:rsidR="00180B19" w:rsidRPr="00180B19" w:rsidRDefault="001F2713" w:rsidP="001F2713">
      <w:pPr>
        <w:spacing w:line="240" w:lineRule="auto"/>
        <w:rPr>
          <w:rFonts w:ascii="Times New Roman" w:hAnsi="Times New Roman" w:cs="Times New Roman"/>
          <w:color w:val="5B9BD5" w:themeColor="accent1"/>
        </w:rPr>
      </w:pPr>
      <w:r w:rsidRPr="00180B19">
        <w:rPr>
          <w:rFonts w:ascii="Times New Roman" w:hAnsi="Times New Roman" w:cs="Times New Roman"/>
          <w:color w:val="5B9BD5" w:themeColor="accent1"/>
        </w:rPr>
        <w:t xml:space="preserve">Smith v Attorney-General [2018] NZSC 40 </w:t>
      </w:r>
    </w:p>
    <w:p w:rsidR="001F2713" w:rsidRPr="003F23B7" w:rsidRDefault="0009432E" w:rsidP="001F2713">
      <w:pPr>
        <w:spacing w:line="240" w:lineRule="auto"/>
        <w:rPr>
          <w:rFonts w:ascii="Times New Roman" w:hAnsi="Times New Roman" w:cs="Times New Roman"/>
          <w:i/>
        </w:rPr>
      </w:pPr>
      <w:r>
        <w:rPr>
          <w:rFonts w:ascii="Times New Roman" w:hAnsi="Times New Roman" w:cs="Times New Roman"/>
          <w:i/>
        </w:rPr>
        <w:t>Doe</w:t>
      </w:r>
      <w:r w:rsidR="001F2713" w:rsidRPr="003F23B7">
        <w:rPr>
          <w:rFonts w:ascii="Times New Roman" w:hAnsi="Times New Roman" w:cs="Times New Roman"/>
          <w:i/>
        </w:rPr>
        <w:t xml:space="preserve">s wearing a wig </w:t>
      </w:r>
      <w:r>
        <w:rPr>
          <w:rFonts w:ascii="Times New Roman" w:hAnsi="Times New Roman" w:cs="Times New Roman"/>
          <w:i/>
        </w:rPr>
        <w:t xml:space="preserve">amount to </w:t>
      </w:r>
      <w:r w:rsidR="001F2713" w:rsidRPr="003F23B7">
        <w:rPr>
          <w:rFonts w:ascii="Times New Roman" w:hAnsi="Times New Roman" w:cs="Times New Roman"/>
          <w:i/>
        </w:rPr>
        <w:t>freedom of expression</w:t>
      </w:r>
      <w:r w:rsidR="003F23B7" w:rsidRPr="003F23B7">
        <w:rPr>
          <w:rFonts w:ascii="Times New Roman" w:hAnsi="Times New Roman" w:cs="Times New Roman"/>
          <w:i/>
        </w:rPr>
        <w:t>?</w:t>
      </w:r>
      <w:r w:rsidR="001F2713" w:rsidRPr="003F23B7">
        <w:rPr>
          <w:rFonts w:ascii="Times New Roman" w:hAnsi="Times New Roman" w:cs="Times New Roman"/>
          <w:i/>
        </w:rPr>
        <w:t xml:space="preserve"> </w:t>
      </w:r>
    </w:p>
    <w:p w:rsidR="001F2713" w:rsidRPr="00433CF5" w:rsidRDefault="001F2713" w:rsidP="001F2713">
      <w:pPr>
        <w:spacing w:line="240" w:lineRule="auto"/>
        <w:jc w:val="both"/>
        <w:rPr>
          <w:rFonts w:ascii="Times New Roman" w:hAnsi="Times New Roman" w:cs="Times New Roman"/>
        </w:rPr>
      </w:pPr>
      <w:r w:rsidRPr="00433CF5">
        <w:rPr>
          <w:rFonts w:ascii="Times New Roman" w:hAnsi="Times New Roman" w:cs="Times New Roman"/>
        </w:rPr>
        <w:t xml:space="preserve">In </w:t>
      </w:r>
      <w:r>
        <w:rPr>
          <w:rFonts w:ascii="Times New Roman" w:hAnsi="Times New Roman" w:cs="Times New Roman"/>
        </w:rPr>
        <w:t>our</w:t>
      </w:r>
      <w:r w:rsidRPr="00433CF5">
        <w:rPr>
          <w:rFonts w:ascii="Times New Roman" w:hAnsi="Times New Roman" w:cs="Times New Roman"/>
        </w:rPr>
        <w:t xml:space="preserve"> last bulletin we noted the case of Philip Smith </w:t>
      </w:r>
      <w:r>
        <w:rPr>
          <w:rFonts w:ascii="Times New Roman" w:hAnsi="Times New Roman" w:cs="Times New Roman"/>
        </w:rPr>
        <w:t xml:space="preserve">who claimed </w:t>
      </w:r>
      <w:r w:rsidRPr="00433CF5">
        <w:rPr>
          <w:rFonts w:ascii="Times New Roman" w:hAnsi="Times New Roman" w:cs="Times New Roman"/>
        </w:rPr>
        <w:t xml:space="preserve">his right to freedom of expression was infringed </w:t>
      </w:r>
      <w:r w:rsidR="008419B7">
        <w:rPr>
          <w:rFonts w:ascii="Times New Roman" w:hAnsi="Times New Roman" w:cs="Times New Roman"/>
        </w:rPr>
        <w:t>when</w:t>
      </w:r>
      <w:r w:rsidRPr="00433CF5">
        <w:rPr>
          <w:rFonts w:ascii="Times New Roman" w:hAnsi="Times New Roman" w:cs="Times New Roman"/>
        </w:rPr>
        <w:t xml:space="preserve"> the</w:t>
      </w:r>
      <w:r>
        <w:rPr>
          <w:rFonts w:ascii="Times New Roman" w:hAnsi="Times New Roman" w:cs="Times New Roman"/>
        </w:rPr>
        <w:t xml:space="preserve"> m</w:t>
      </w:r>
      <w:r w:rsidRPr="00433CF5">
        <w:rPr>
          <w:rFonts w:ascii="Times New Roman" w:hAnsi="Times New Roman" w:cs="Times New Roman"/>
        </w:rPr>
        <w:t xml:space="preserve">anager of Auckland </w:t>
      </w:r>
      <w:r>
        <w:rPr>
          <w:rFonts w:ascii="Times New Roman" w:hAnsi="Times New Roman" w:cs="Times New Roman"/>
        </w:rPr>
        <w:t>P</w:t>
      </w:r>
      <w:r w:rsidRPr="00433CF5">
        <w:rPr>
          <w:rFonts w:ascii="Times New Roman" w:hAnsi="Times New Roman" w:cs="Times New Roman"/>
        </w:rPr>
        <w:t>rison</w:t>
      </w:r>
      <w:r>
        <w:rPr>
          <w:rFonts w:ascii="Times New Roman" w:hAnsi="Times New Roman" w:cs="Times New Roman"/>
        </w:rPr>
        <w:t xml:space="preserve"> refus</w:t>
      </w:r>
      <w:r w:rsidR="008419B7">
        <w:rPr>
          <w:rFonts w:ascii="Times New Roman" w:hAnsi="Times New Roman" w:cs="Times New Roman"/>
        </w:rPr>
        <w:t>ed</w:t>
      </w:r>
      <w:r w:rsidRPr="00433CF5">
        <w:rPr>
          <w:rFonts w:ascii="Times New Roman" w:hAnsi="Times New Roman" w:cs="Times New Roman"/>
        </w:rPr>
        <w:t xml:space="preserve"> to allow him to wear a wig. In the High Court Wylie J</w:t>
      </w:r>
      <w:r>
        <w:rPr>
          <w:rFonts w:ascii="Times New Roman" w:hAnsi="Times New Roman" w:cs="Times New Roman"/>
        </w:rPr>
        <w:t xml:space="preserve"> </w:t>
      </w:r>
      <w:r w:rsidRPr="00433CF5">
        <w:rPr>
          <w:rFonts w:ascii="Times New Roman" w:hAnsi="Times New Roman" w:cs="Times New Roman"/>
        </w:rPr>
        <w:t xml:space="preserve">supported his right to wear the wig, seeing it as evidence of his freedom of expression. Although the prison manager subsequently </w:t>
      </w:r>
      <w:r>
        <w:rPr>
          <w:rFonts w:ascii="Times New Roman" w:hAnsi="Times New Roman" w:cs="Times New Roman"/>
        </w:rPr>
        <w:t xml:space="preserve">reneged and </w:t>
      </w:r>
      <w:r w:rsidRPr="00433CF5">
        <w:rPr>
          <w:rFonts w:ascii="Times New Roman" w:hAnsi="Times New Roman" w:cs="Times New Roman"/>
        </w:rPr>
        <w:t xml:space="preserve">gave </w:t>
      </w:r>
      <w:r>
        <w:rPr>
          <w:rFonts w:ascii="Times New Roman" w:hAnsi="Times New Roman" w:cs="Times New Roman"/>
        </w:rPr>
        <w:t>Mr Smith</w:t>
      </w:r>
      <w:r w:rsidRPr="00433CF5">
        <w:rPr>
          <w:rFonts w:ascii="Times New Roman" w:hAnsi="Times New Roman" w:cs="Times New Roman"/>
        </w:rPr>
        <w:t xml:space="preserve"> permission to wear the wig – and the issue was therefore moot </w:t>
      </w:r>
      <w:r w:rsidR="00663D41">
        <w:rPr>
          <w:rFonts w:ascii="Times New Roman" w:hAnsi="Times New Roman" w:cs="Times New Roman"/>
        </w:rPr>
        <w:t>by the time</w:t>
      </w:r>
      <w:r w:rsidRPr="00433CF5">
        <w:rPr>
          <w:rFonts w:ascii="Times New Roman" w:hAnsi="Times New Roman" w:cs="Times New Roman"/>
        </w:rPr>
        <w:t xml:space="preserve"> the case </w:t>
      </w:r>
      <w:r w:rsidR="008419B7">
        <w:rPr>
          <w:rFonts w:ascii="Times New Roman" w:hAnsi="Times New Roman" w:cs="Times New Roman"/>
        </w:rPr>
        <w:t>reached the C</w:t>
      </w:r>
      <w:r w:rsidRPr="00433CF5">
        <w:rPr>
          <w:rFonts w:ascii="Times New Roman" w:hAnsi="Times New Roman" w:cs="Times New Roman"/>
        </w:rPr>
        <w:t>ourt</w:t>
      </w:r>
      <w:r w:rsidR="008419B7">
        <w:rPr>
          <w:rFonts w:ascii="Times New Roman" w:hAnsi="Times New Roman" w:cs="Times New Roman"/>
        </w:rPr>
        <w:t xml:space="preserve"> of Appeal</w:t>
      </w:r>
      <w:r w:rsidRPr="00433CF5">
        <w:rPr>
          <w:rFonts w:ascii="Times New Roman" w:hAnsi="Times New Roman" w:cs="Times New Roman"/>
        </w:rPr>
        <w:t xml:space="preserve"> - the Attorney-General appealed on whether </w:t>
      </w:r>
      <w:r w:rsidR="00663D41">
        <w:rPr>
          <w:rFonts w:ascii="Times New Roman" w:hAnsi="Times New Roman" w:cs="Times New Roman"/>
        </w:rPr>
        <w:t>Mr Smith’s</w:t>
      </w:r>
      <w:r w:rsidRPr="00433CF5">
        <w:rPr>
          <w:rFonts w:ascii="Times New Roman" w:hAnsi="Times New Roman" w:cs="Times New Roman"/>
        </w:rPr>
        <w:t xml:space="preserve"> wish to wear a hairpiece genuinely engaged s.14 of the NZBORA. </w:t>
      </w:r>
    </w:p>
    <w:p w:rsidR="001F2713" w:rsidRPr="00433CF5" w:rsidRDefault="001F2713" w:rsidP="001F2713">
      <w:pPr>
        <w:spacing w:line="240" w:lineRule="auto"/>
        <w:jc w:val="both"/>
        <w:rPr>
          <w:rFonts w:ascii="Times New Roman" w:hAnsi="Times New Roman" w:cs="Times New Roman"/>
        </w:rPr>
      </w:pPr>
      <w:r w:rsidRPr="00433CF5">
        <w:rPr>
          <w:rFonts w:ascii="Times New Roman" w:hAnsi="Times New Roman" w:cs="Times New Roman"/>
        </w:rPr>
        <w:t xml:space="preserve">The Court of Appeal </w:t>
      </w:r>
      <w:r>
        <w:rPr>
          <w:rFonts w:ascii="Times New Roman" w:hAnsi="Times New Roman" w:cs="Times New Roman"/>
        </w:rPr>
        <w:t>c</w:t>
      </w:r>
      <w:r w:rsidRPr="00433CF5">
        <w:rPr>
          <w:rFonts w:ascii="Times New Roman" w:hAnsi="Times New Roman" w:cs="Times New Roman"/>
        </w:rPr>
        <w:t>on</w:t>
      </w:r>
      <w:r>
        <w:rPr>
          <w:rFonts w:ascii="Times New Roman" w:hAnsi="Times New Roman" w:cs="Times New Roman"/>
        </w:rPr>
        <w:t>si</w:t>
      </w:r>
      <w:r w:rsidRPr="00433CF5">
        <w:rPr>
          <w:rFonts w:ascii="Times New Roman" w:hAnsi="Times New Roman" w:cs="Times New Roman"/>
        </w:rPr>
        <w:t>d</w:t>
      </w:r>
      <w:r>
        <w:rPr>
          <w:rFonts w:ascii="Times New Roman" w:hAnsi="Times New Roman" w:cs="Times New Roman"/>
        </w:rPr>
        <w:t>ered</w:t>
      </w:r>
      <w:r w:rsidRPr="00433CF5">
        <w:rPr>
          <w:rFonts w:ascii="Times New Roman" w:hAnsi="Times New Roman" w:cs="Times New Roman"/>
        </w:rPr>
        <w:t xml:space="preserve"> it didn</w:t>
      </w:r>
      <w:r>
        <w:rPr>
          <w:rFonts w:ascii="Times New Roman" w:hAnsi="Times New Roman" w:cs="Times New Roman"/>
        </w:rPr>
        <w:t>’</w:t>
      </w:r>
      <w:r w:rsidRPr="00433CF5">
        <w:rPr>
          <w:rFonts w:ascii="Times New Roman" w:hAnsi="Times New Roman" w:cs="Times New Roman"/>
        </w:rPr>
        <w:t xml:space="preserve">t and Mr Smith sought permission to appeal to the Supreme Court. While the Supreme Court accepted that </w:t>
      </w:r>
      <w:r w:rsidR="00663D41">
        <w:rPr>
          <w:rFonts w:ascii="Times New Roman" w:hAnsi="Times New Roman" w:cs="Times New Roman"/>
        </w:rPr>
        <w:t xml:space="preserve">while </w:t>
      </w:r>
      <w:r w:rsidRPr="00433CF5">
        <w:rPr>
          <w:rFonts w:ascii="Times New Roman" w:hAnsi="Times New Roman" w:cs="Times New Roman"/>
        </w:rPr>
        <w:t>whether expressive conduct was confined to conduct which conveyed a meaning raised a question of law of public importance, it refused Mr Smith leave to appeal as it did not see the answer to the question as likely to be decisive of the outcome. The Judges considered that it would have been more relevant to ask whether interference with the way a detained person presented to others could be seen as interfering with s.23(5) NZBORA i.e. infringement of dignity</w:t>
      </w:r>
      <w:r w:rsidRPr="00433CF5">
        <w:rPr>
          <w:rStyle w:val="FootnoteReference"/>
          <w:rFonts w:cs="Times New Roman"/>
        </w:rPr>
        <w:footnoteReference w:id="4"/>
      </w:r>
      <w:r w:rsidRPr="00433CF5">
        <w:rPr>
          <w:rFonts w:ascii="Times New Roman" w:hAnsi="Times New Roman" w:cs="Times New Roman"/>
        </w:rPr>
        <w:t xml:space="preserve">.         </w:t>
      </w:r>
    </w:p>
    <w:p w:rsidR="00180B19" w:rsidRPr="00180B19" w:rsidRDefault="000C7282" w:rsidP="000C7282">
      <w:pPr>
        <w:spacing w:line="240" w:lineRule="auto"/>
        <w:rPr>
          <w:rFonts w:ascii="Times New Roman" w:hAnsi="Times New Roman" w:cs="Times New Roman"/>
          <w:color w:val="00B0F0"/>
        </w:rPr>
      </w:pPr>
      <w:r w:rsidRPr="00180B19">
        <w:rPr>
          <w:rFonts w:ascii="Times New Roman" w:hAnsi="Times New Roman" w:cs="Times New Roman"/>
          <w:color w:val="00B0F0"/>
        </w:rPr>
        <w:t>Cook v Housing New Zealand Ltd [2018] NZCA 57</w:t>
      </w:r>
    </w:p>
    <w:p w:rsidR="000C7282" w:rsidRPr="00433CF5" w:rsidRDefault="000C7282" w:rsidP="000C7282">
      <w:pPr>
        <w:spacing w:line="240" w:lineRule="auto"/>
        <w:rPr>
          <w:rFonts w:ascii="Times New Roman" w:hAnsi="Times New Roman" w:cs="Times New Roman"/>
        </w:rPr>
      </w:pPr>
      <w:r w:rsidRPr="00433CF5">
        <w:rPr>
          <w:rFonts w:ascii="Times New Roman" w:hAnsi="Times New Roman" w:cs="Times New Roman"/>
          <w:i/>
        </w:rPr>
        <w:t>The right to housing</w:t>
      </w:r>
    </w:p>
    <w:p w:rsidR="000C7282" w:rsidRPr="00433CF5" w:rsidRDefault="000C7282" w:rsidP="000C7282">
      <w:pPr>
        <w:spacing w:line="240" w:lineRule="auto"/>
        <w:jc w:val="both"/>
        <w:rPr>
          <w:rFonts w:ascii="Times New Roman" w:hAnsi="Times New Roman" w:cs="Times New Roman"/>
        </w:rPr>
      </w:pPr>
      <w:r w:rsidRPr="00433CF5">
        <w:rPr>
          <w:rFonts w:ascii="Times New Roman" w:hAnsi="Times New Roman" w:cs="Times New Roman"/>
        </w:rPr>
        <w:t xml:space="preserve">Desmond Cook has been a Housing New Zealand (HNZ) tenant since June 2010. In 2012 he asked HNZ to transfer him to a different property claiming his current home was ‘unsuitable’ for various reasons. </w:t>
      </w:r>
      <w:r>
        <w:rPr>
          <w:rFonts w:ascii="Times New Roman" w:hAnsi="Times New Roman" w:cs="Times New Roman"/>
        </w:rPr>
        <w:t xml:space="preserve">When </w:t>
      </w:r>
      <w:r w:rsidRPr="00433CF5">
        <w:rPr>
          <w:rFonts w:ascii="Times New Roman" w:hAnsi="Times New Roman" w:cs="Times New Roman"/>
        </w:rPr>
        <w:t>HNZ refus</w:t>
      </w:r>
      <w:r>
        <w:rPr>
          <w:rFonts w:ascii="Times New Roman" w:hAnsi="Times New Roman" w:cs="Times New Roman"/>
        </w:rPr>
        <w:t>ed</w:t>
      </w:r>
      <w:r w:rsidRPr="00433CF5">
        <w:rPr>
          <w:rFonts w:ascii="Times New Roman" w:hAnsi="Times New Roman" w:cs="Times New Roman"/>
        </w:rPr>
        <w:t xml:space="preserve"> to do so</w:t>
      </w:r>
      <w:r>
        <w:rPr>
          <w:rFonts w:ascii="Times New Roman" w:hAnsi="Times New Roman" w:cs="Times New Roman"/>
        </w:rPr>
        <w:t>,</w:t>
      </w:r>
      <w:r w:rsidRPr="00433CF5">
        <w:rPr>
          <w:rFonts w:ascii="Times New Roman" w:hAnsi="Times New Roman" w:cs="Times New Roman"/>
        </w:rPr>
        <w:t xml:space="preserve"> Mr Cook </w:t>
      </w:r>
      <w:r>
        <w:rPr>
          <w:rFonts w:ascii="Times New Roman" w:hAnsi="Times New Roman" w:cs="Times New Roman"/>
        </w:rPr>
        <w:t>began</w:t>
      </w:r>
      <w:r w:rsidRPr="00433CF5">
        <w:rPr>
          <w:rFonts w:ascii="Times New Roman" w:hAnsi="Times New Roman" w:cs="Times New Roman"/>
        </w:rPr>
        <w:t xml:space="preserve"> litigation that </w:t>
      </w:r>
      <w:r>
        <w:rPr>
          <w:rFonts w:ascii="Times New Roman" w:hAnsi="Times New Roman" w:cs="Times New Roman"/>
        </w:rPr>
        <w:t>l</w:t>
      </w:r>
      <w:r w:rsidRPr="00433CF5">
        <w:rPr>
          <w:rFonts w:ascii="Times New Roman" w:hAnsi="Times New Roman" w:cs="Times New Roman"/>
        </w:rPr>
        <w:t xml:space="preserve">ed </w:t>
      </w:r>
      <w:r>
        <w:rPr>
          <w:rFonts w:ascii="Times New Roman" w:hAnsi="Times New Roman" w:cs="Times New Roman"/>
        </w:rPr>
        <w:t xml:space="preserve">to </w:t>
      </w:r>
      <w:r w:rsidRPr="00433CF5">
        <w:rPr>
          <w:rFonts w:ascii="Times New Roman" w:hAnsi="Times New Roman" w:cs="Times New Roman"/>
        </w:rPr>
        <w:t>the Court of Appeal.</w:t>
      </w:r>
    </w:p>
    <w:p w:rsidR="000C7282" w:rsidRPr="00433CF5" w:rsidRDefault="000C7282" w:rsidP="000C7282">
      <w:pPr>
        <w:spacing w:line="240" w:lineRule="auto"/>
        <w:jc w:val="both"/>
        <w:rPr>
          <w:rFonts w:ascii="Times New Roman" w:hAnsi="Times New Roman" w:cs="Times New Roman"/>
        </w:rPr>
      </w:pPr>
      <w:r>
        <w:rPr>
          <w:rFonts w:ascii="Times New Roman" w:hAnsi="Times New Roman" w:cs="Times New Roman"/>
        </w:rPr>
        <w:t xml:space="preserve">Initially </w:t>
      </w:r>
      <w:r w:rsidRPr="00433CF5">
        <w:rPr>
          <w:rFonts w:ascii="Times New Roman" w:hAnsi="Times New Roman" w:cs="Times New Roman"/>
        </w:rPr>
        <w:t xml:space="preserve">Mr Cook questioned the quality of the housing that he had been provided with. He claimed he had noisy neighbours, did not feel safe, the house was cold and damp and he needed a second bedroom (for a live-in caregiver due to his health problems). When his request was declined, he took the matter up with the Tenancy Tribunal. In the litigation that followed, Mr Cook was asked to reformulate his causes of action and an </w:t>
      </w:r>
      <w:r w:rsidRPr="00433CF5">
        <w:rPr>
          <w:rFonts w:ascii="Times New Roman" w:hAnsi="Times New Roman" w:cs="Times New Roman"/>
          <w:i/>
        </w:rPr>
        <w:t>amicus curiae</w:t>
      </w:r>
      <w:r w:rsidRPr="00433CF5">
        <w:rPr>
          <w:rFonts w:ascii="Times New Roman" w:hAnsi="Times New Roman" w:cs="Times New Roman"/>
        </w:rPr>
        <w:t xml:space="preserve"> (‘friend of the court’) was appointed as he insisted on representing himself. </w:t>
      </w:r>
    </w:p>
    <w:p w:rsidR="000C7282" w:rsidRPr="00433CF5" w:rsidRDefault="000C7282" w:rsidP="000C7282">
      <w:pPr>
        <w:spacing w:line="240" w:lineRule="auto"/>
        <w:jc w:val="both"/>
        <w:rPr>
          <w:rFonts w:ascii="Times New Roman" w:hAnsi="Times New Roman" w:cs="Times New Roman"/>
        </w:rPr>
      </w:pPr>
      <w:r w:rsidRPr="00433CF5">
        <w:rPr>
          <w:rFonts w:ascii="Times New Roman" w:hAnsi="Times New Roman" w:cs="Times New Roman"/>
        </w:rPr>
        <w:t>In the High Court Downs J</w:t>
      </w:r>
      <w:r>
        <w:rPr>
          <w:rFonts w:ascii="Times New Roman" w:hAnsi="Times New Roman" w:cs="Times New Roman"/>
        </w:rPr>
        <w:t xml:space="preserve"> noted </w:t>
      </w:r>
      <w:r w:rsidRPr="00433CF5">
        <w:rPr>
          <w:rFonts w:ascii="Times New Roman" w:hAnsi="Times New Roman" w:cs="Times New Roman"/>
        </w:rPr>
        <w:t xml:space="preserve">that HNZ </w:t>
      </w:r>
      <w:r>
        <w:rPr>
          <w:rFonts w:ascii="Times New Roman" w:hAnsi="Times New Roman" w:cs="Times New Roman"/>
        </w:rPr>
        <w:t>had the right to mak</w:t>
      </w:r>
      <w:r w:rsidRPr="00433CF5">
        <w:rPr>
          <w:rFonts w:ascii="Times New Roman" w:hAnsi="Times New Roman" w:cs="Times New Roman"/>
        </w:rPr>
        <w:t xml:space="preserve">e decisions that might otherwise </w:t>
      </w:r>
      <w:r>
        <w:rPr>
          <w:rFonts w:ascii="Times New Roman" w:hAnsi="Times New Roman" w:cs="Times New Roman"/>
        </w:rPr>
        <w:t>amount t</w:t>
      </w:r>
      <w:r w:rsidRPr="00433CF5">
        <w:rPr>
          <w:rFonts w:ascii="Times New Roman" w:hAnsi="Times New Roman" w:cs="Times New Roman"/>
        </w:rPr>
        <w:t xml:space="preserve">o discrimination </w:t>
      </w:r>
      <w:r>
        <w:rPr>
          <w:rFonts w:ascii="Times New Roman" w:hAnsi="Times New Roman" w:cs="Times New Roman"/>
        </w:rPr>
        <w:t>under</w:t>
      </w:r>
      <w:r w:rsidRPr="00433CF5">
        <w:rPr>
          <w:rFonts w:ascii="Times New Roman" w:hAnsi="Times New Roman" w:cs="Times New Roman"/>
        </w:rPr>
        <w:t xml:space="preserve"> the Human Rights Act 1993</w:t>
      </w:r>
      <w:r w:rsidRPr="00A46349">
        <w:rPr>
          <w:rFonts w:ascii="Times New Roman" w:hAnsi="Times New Roman" w:cs="Times New Roman"/>
        </w:rPr>
        <w:t xml:space="preserve"> </w:t>
      </w:r>
      <w:r>
        <w:rPr>
          <w:rFonts w:ascii="Times New Roman" w:hAnsi="Times New Roman" w:cs="Times New Roman"/>
        </w:rPr>
        <w:t xml:space="preserve">about </w:t>
      </w:r>
      <w:r w:rsidRPr="00433CF5">
        <w:rPr>
          <w:rFonts w:ascii="Times New Roman" w:hAnsi="Times New Roman" w:cs="Times New Roman"/>
        </w:rPr>
        <w:t xml:space="preserve">the allocation, reallocation, assignment and reassignment of state housing </w:t>
      </w:r>
      <w:r w:rsidR="008419B7">
        <w:rPr>
          <w:rFonts w:ascii="Times New Roman" w:hAnsi="Times New Roman" w:cs="Times New Roman"/>
        </w:rPr>
        <w:t>as a res</w:t>
      </w:r>
      <w:r w:rsidRPr="00433CF5">
        <w:rPr>
          <w:rFonts w:ascii="Times New Roman" w:hAnsi="Times New Roman" w:cs="Times New Roman"/>
        </w:rPr>
        <w:t>u</w:t>
      </w:r>
      <w:r w:rsidR="008419B7">
        <w:rPr>
          <w:rFonts w:ascii="Times New Roman" w:hAnsi="Times New Roman" w:cs="Times New Roman"/>
        </w:rPr>
        <w:t>lt of</w:t>
      </w:r>
      <w:r w:rsidRPr="00433CF5">
        <w:rPr>
          <w:rFonts w:ascii="Times New Roman" w:hAnsi="Times New Roman" w:cs="Times New Roman"/>
        </w:rPr>
        <w:t xml:space="preserve"> the Housing Restructuring and Tenancy Matters Act 1992</w:t>
      </w:r>
      <w:r w:rsidRPr="00433CF5">
        <w:rPr>
          <w:rStyle w:val="FootnoteReference"/>
          <w:rFonts w:cs="Times New Roman"/>
        </w:rPr>
        <w:footnoteReference w:id="5"/>
      </w:r>
      <w:r>
        <w:rPr>
          <w:rFonts w:ascii="Times New Roman" w:hAnsi="Times New Roman" w:cs="Times New Roman"/>
        </w:rPr>
        <w:t>.</w:t>
      </w:r>
      <w:r w:rsidRPr="00433CF5">
        <w:rPr>
          <w:rFonts w:ascii="Times New Roman" w:hAnsi="Times New Roman" w:cs="Times New Roman"/>
        </w:rPr>
        <w:t xml:space="preserve"> </w:t>
      </w:r>
      <w:r>
        <w:rPr>
          <w:rFonts w:ascii="Times New Roman" w:hAnsi="Times New Roman" w:cs="Times New Roman"/>
        </w:rPr>
        <w:t>S</w:t>
      </w:r>
      <w:r w:rsidRPr="00433CF5">
        <w:rPr>
          <w:rFonts w:ascii="Times New Roman" w:hAnsi="Times New Roman" w:cs="Times New Roman"/>
        </w:rPr>
        <w:t xml:space="preserve">tate tenants </w:t>
      </w:r>
      <w:r>
        <w:rPr>
          <w:rFonts w:ascii="Times New Roman" w:hAnsi="Times New Roman" w:cs="Times New Roman"/>
        </w:rPr>
        <w:t>c</w:t>
      </w:r>
      <w:r w:rsidRPr="00433CF5">
        <w:rPr>
          <w:rFonts w:ascii="Times New Roman" w:hAnsi="Times New Roman" w:cs="Times New Roman"/>
        </w:rPr>
        <w:t>a</w:t>
      </w:r>
      <w:r>
        <w:rPr>
          <w:rFonts w:ascii="Times New Roman" w:hAnsi="Times New Roman" w:cs="Times New Roman"/>
        </w:rPr>
        <w:t>n</w:t>
      </w:r>
      <w:r w:rsidRPr="00433CF5">
        <w:rPr>
          <w:rFonts w:ascii="Times New Roman" w:hAnsi="Times New Roman" w:cs="Times New Roman"/>
        </w:rPr>
        <w:t xml:space="preserve"> challenge assessments by HNZ under section 62 of the Social Housing Reform (Housing Restructuring and Tenancy Matters Amendment) Act 2013 which provides for an internal review process allowing a tenant to appeal to the State Housing Appeal Authority. </w:t>
      </w:r>
      <w:r w:rsidR="008419B7">
        <w:rPr>
          <w:rFonts w:ascii="Times New Roman" w:hAnsi="Times New Roman" w:cs="Times New Roman"/>
        </w:rPr>
        <w:t>T</w:t>
      </w:r>
      <w:r w:rsidR="008419B7" w:rsidRPr="00433CF5">
        <w:rPr>
          <w:rFonts w:ascii="Times New Roman" w:hAnsi="Times New Roman" w:cs="Times New Roman"/>
        </w:rPr>
        <w:t>he Residential Tenancies Act 1986</w:t>
      </w:r>
      <w:r w:rsidRPr="00433CF5">
        <w:rPr>
          <w:rFonts w:ascii="Times New Roman" w:hAnsi="Times New Roman" w:cs="Times New Roman"/>
        </w:rPr>
        <w:t xml:space="preserve"> also </w:t>
      </w:r>
      <w:r w:rsidR="008419B7">
        <w:rPr>
          <w:rFonts w:ascii="Times New Roman" w:hAnsi="Times New Roman" w:cs="Times New Roman"/>
        </w:rPr>
        <w:t xml:space="preserve">provides </w:t>
      </w:r>
      <w:r w:rsidRPr="00433CF5">
        <w:rPr>
          <w:rFonts w:ascii="Times New Roman" w:hAnsi="Times New Roman" w:cs="Times New Roman"/>
        </w:rPr>
        <w:t>protection.</w:t>
      </w:r>
      <w:r w:rsidRPr="00433CF5">
        <w:rPr>
          <w:rStyle w:val="FootnoteReference"/>
          <w:rFonts w:cs="Times New Roman"/>
        </w:rPr>
        <w:footnoteReference w:id="6"/>
      </w:r>
      <w:r w:rsidRPr="006B564A">
        <w:rPr>
          <w:rFonts w:ascii="Times New Roman" w:hAnsi="Times New Roman" w:cs="Times New Roman"/>
        </w:rPr>
        <w:t xml:space="preserve"> </w:t>
      </w:r>
      <w:r w:rsidRPr="00433CF5">
        <w:rPr>
          <w:rFonts w:ascii="Times New Roman" w:hAnsi="Times New Roman" w:cs="Times New Roman"/>
        </w:rPr>
        <w:t xml:space="preserve">Despite this, Mr Cook’s allegations were considered ill-founded, </w:t>
      </w:r>
      <w:r>
        <w:rPr>
          <w:rFonts w:ascii="Times New Roman" w:hAnsi="Times New Roman" w:cs="Times New Roman"/>
        </w:rPr>
        <w:t xml:space="preserve">the </w:t>
      </w:r>
      <w:r w:rsidRPr="00433CF5">
        <w:rPr>
          <w:rFonts w:ascii="Times New Roman" w:hAnsi="Times New Roman" w:cs="Times New Roman"/>
        </w:rPr>
        <w:t>J</w:t>
      </w:r>
      <w:r>
        <w:rPr>
          <w:rFonts w:ascii="Times New Roman" w:hAnsi="Times New Roman" w:cs="Times New Roman"/>
        </w:rPr>
        <w:t>udge</w:t>
      </w:r>
      <w:r w:rsidRPr="00433CF5">
        <w:rPr>
          <w:rFonts w:ascii="Times New Roman" w:hAnsi="Times New Roman" w:cs="Times New Roman"/>
        </w:rPr>
        <w:t xml:space="preserve"> </w:t>
      </w:r>
      <w:r>
        <w:rPr>
          <w:rFonts w:ascii="Times New Roman" w:hAnsi="Times New Roman" w:cs="Times New Roman"/>
        </w:rPr>
        <w:t>fin</w:t>
      </w:r>
      <w:r w:rsidRPr="00433CF5">
        <w:rPr>
          <w:rFonts w:ascii="Times New Roman" w:hAnsi="Times New Roman" w:cs="Times New Roman"/>
        </w:rPr>
        <w:t>ding that it was not Parliament’s intention to “confer a private civil right of action” for alleged breaches of the Housing Corporation Act. The legislation was for the benefit of society, not private individuals</w:t>
      </w:r>
      <w:r w:rsidRPr="00433CF5">
        <w:rPr>
          <w:rStyle w:val="FootnoteReference"/>
          <w:rFonts w:cs="Times New Roman"/>
        </w:rPr>
        <w:footnoteReference w:id="7"/>
      </w:r>
      <w:r w:rsidRPr="00433CF5">
        <w:rPr>
          <w:rFonts w:ascii="Times New Roman" w:hAnsi="Times New Roman" w:cs="Times New Roman"/>
        </w:rPr>
        <w:t>.</w:t>
      </w:r>
    </w:p>
    <w:p w:rsidR="000C7282" w:rsidRPr="00433CF5" w:rsidRDefault="000C7282" w:rsidP="000C7282">
      <w:pPr>
        <w:spacing w:line="240" w:lineRule="auto"/>
        <w:jc w:val="both"/>
        <w:rPr>
          <w:rFonts w:ascii="Times New Roman" w:hAnsi="Times New Roman" w:cs="Times New Roman"/>
        </w:rPr>
      </w:pPr>
      <w:r w:rsidRPr="00433CF5">
        <w:rPr>
          <w:rFonts w:ascii="Times New Roman" w:hAnsi="Times New Roman" w:cs="Times New Roman"/>
        </w:rPr>
        <w:lastRenderedPageBreak/>
        <w:t xml:space="preserve">Under the 1992 </w:t>
      </w:r>
      <w:r>
        <w:rPr>
          <w:rFonts w:ascii="Times New Roman" w:hAnsi="Times New Roman" w:cs="Times New Roman"/>
        </w:rPr>
        <w:t xml:space="preserve">Act </w:t>
      </w:r>
      <w:r w:rsidRPr="00433CF5">
        <w:rPr>
          <w:rFonts w:ascii="Times New Roman" w:hAnsi="Times New Roman" w:cs="Times New Roman"/>
        </w:rPr>
        <w:t xml:space="preserve">HNZ </w:t>
      </w:r>
      <w:r w:rsidR="008419B7">
        <w:rPr>
          <w:rFonts w:ascii="Times New Roman" w:hAnsi="Times New Roman" w:cs="Times New Roman"/>
        </w:rPr>
        <w:t>was</w:t>
      </w:r>
      <w:r w:rsidRPr="00433CF5">
        <w:rPr>
          <w:rFonts w:ascii="Times New Roman" w:hAnsi="Times New Roman" w:cs="Times New Roman"/>
        </w:rPr>
        <w:t xml:space="preserve"> not under “any obligation to provide any housing or particular housing to a tenant”.</w:t>
      </w:r>
      <w:r w:rsidRPr="00433CF5">
        <w:rPr>
          <w:rStyle w:val="FootnoteReference"/>
          <w:rFonts w:cs="Times New Roman"/>
        </w:rPr>
        <w:footnoteReference w:id="8"/>
      </w:r>
      <w:r>
        <w:rPr>
          <w:rFonts w:ascii="Times New Roman" w:hAnsi="Times New Roman" w:cs="Times New Roman"/>
        </w:rPr>
        <w:t>As</w:t>
      </w:r>
      <w:r w:rsidRPr="00433CF5">
        <w:rPr>
          <w:rFonts w:ascii="Times New Roman" w:hAnsi="Times New Roman" w:cs="Times New Roman"/>
        </w:rPr>
        <w:t xml:space="preserve"> Hinton J </w:t>
      </w:r>
      <w:r>
        <w:rPr>
          <w:rFonts w:ascii="Times New Roman" w:hAnsi="Times New Roman" w:cs="Times New Roman"/>
        </w:rPr>
        <w:t xml:space="preserve">had </w:t>
      </w:r>
      <w:r w:rsidRPr="00433CF5">
        <w:rPr>
          <w:rFonts w:ascii="Times New Roman" w:hAnsi="Times New Roman" w:cs="Times New Roman"/>
        </w:rPr>
        <w:t>before him</w:t>
      </w:r>
      <w:r>
        <w:rPr>
          <w:rFonts w:ascii="Times New Roman" w:hAnsi="Times New Roman" w:cs="Times New Roman"/>
        </w:rPr>
        <w:t>,</w:t>
      </w:r>
      <w:r w:rsidRPr="00433CF5">
        <w:rPr>
          <w:rFonts w:ascii="Times New Roman" w:hAnsi="Times New Roman" w:cs="Times New Roman"/>
        </w:rPr>
        <w:t xml:space="preserve"> Downs J found there was no proximity between Mr Cook and HNZ. A duty of care should not be recognised for policy reasons as it would “interfere with the administration” of </w:t>
      </w:r>
      <w:r w:rsidR="008419B7">
        <w:rPr>
          <w:rFonts w:ascii="Times New Roman" w:hAnsi="Times New Roman" w:cs="Times New Roman"/>
        </w:rPr>
        <w:t>legislation</w:t>
      </w:r>
      <w:r w:rsidRPr="00433CF5">
        <w:rPr>
          <w:rFonts w:ascii="Times New Roman" w:hAnsi="Times New Roman" w:cs="Times New Roman"/>
        </w:rPr>
        <w:t xml:space="preserve"> relating to the provision of State housing</w:t>
      </w:r>
      <w:r>
        <w:rPr>
          <w:rFonts w:ascii="Times New Roman" w:hAnsi="Times New Roman" w:cs="Times New Roman"/>
        </w:rPr>
        <w:t>”</w:t>
      </w:r>
      <w:r w:rsidRPr="00433CF5">
        <w:rPr>
          <w:rFonts w:ascii="Times New Roman" w:hAnsi="Times New Roman" w:cs="Times New Roman"/>
        </w:rPr>
        <w:t>.</w:t>
      </w:r>
      <w:r w:rsidRPr="00433CF5">
        <w:rPr>
          <w:rStyle w:val="FootnoteReference"/>
          <w:rFonts w:cs="Times New Roman"/>
        </w:rPr>
        <w:footnoteReference w:id="9"/>
      </w:r>
      <w:r w:rsidRPr="00433CF5">
        <w:rPr>
          <w:rFonts w:ascii="Times New Roman" w:hAnsi="Times New Roman" w:cs="Times New Roman"/>
        </w:rPr>
        <w:t xml:space="preserve"> Mr Cook</w:t>
      </w:r>
      <w:r w:rsidR="008419B7">
        <w:rPr>
          <w:rFonts w:ascii="Times New Roman" w:hAnsi="Times New Roman" w:cs="Times New Roman"/>
        </w:rPr>
        <w:t>’</w:t>
      </w:r>
      <w:r w:rsidRPr="00433CF5">
        <w:rPr>
          <w:rFonts w:ascii="Times New Roman" w:hAnsi="Times New Roman" w:cs="Times New Roman"/>
        </w:rPr>
        <w:t>s</w:t>
      </w:r>
      <w:r w:rsidR="008419B7">
        <w:rPr>
          <w:rFonts w:ascii="Times New Roman" w:hAnsi="Times New Roman" w:cs="Times New Roman"/>
        </w:rPr>
        <w:t xml:space="preserve"> response was to seek</w:t>
      </w:r>
      <w:r w:rsidRPr="00433CF5">
        <w:rPr>
          <w:rFonts w:ascii="Times New Roman" w:hAnsi="Times New Roman" w:cs="Times New Roman"/>
        </w:rPr>
        <w:t xml:space="preserve"> special leave to appeal to the Court of Appeal</w:t>
      </w:r>
      <w:r w:rsidR="008419B7">
        <w:rPr>
          <w:rFonts w:ascii="Times New Roman" w:hAnsi="Times New Roman" w:cs="Times New Roman"/>
        </w:rPr>
        <w:t>. The Court of Appeal</w:t>
      </w:r>
      <w:r w:rsidRPr="00433CF5">
        <w:rPr>
          <w:rFonts w:ascii="Times New Roman" w:hAnsi="Times New Roman" w:cs="Times New Roman"/>
        </w:rPr>
        <w:t xml:space="preserve"> declined leave </w:t>
      </w:r>
      <w:r>
        <w:rPr>
          <w:rFonts w:ascii="Times New Roman" w:hAnsi="Times New Roman" w:cs="Times New Roman"/>
        </w:rPr>
        <w:t xml:space="preserve">to appeal, </w:t>
      </w:r>
      <w:r w:rsidRPr="00433CF5">
        <w:rPr>
          <w:rFonts w:ascii="Times New Roman" w:hAnsi="Times New Roman" w:cs="Times New Roman"/>
        </w:rPr>
        <w:t>endorsing Downs J’s judgment.</w:t>
      </w:r>
    </w:p>
    <w:p w:rsidR="000C7282" w:rsidRPr="00433CF5" w:rsidRDefault="000C7282" w:rsidP="000C7282">
      <w:pPr>
        <w:spacing w:line="240" w:lineRule="auto"/>
        <w:jc w:val="both"/>
        <w:rPr>
          <w:rFonts w:ascii="Times New Roman" w:hAnsi="Times New Roman" w:cs="Times New Roman"/>
        </w:rPr>
      </w:pPr>
      <w:r w:rsidRPr="00433CF5">
        <w:rPr>
          <w:rFonts w:ascii="Times New Roman" w:hAnsi="Times New Roman" w:cs="Times New Roman"/>
        </w:rPr>
        <w:t>Although the New Zealand Bill of Rights Act 1990 does not include social and economic rights (and therefore a right to adequate housing), it is nonetheless part of the International Covenant on Economic, Social and Cultural Rights (ICESCR), which New Zealand has ratified</w:t>
      </w:r>
      <w:r w:rsidRPr="00433CF5">
        <w:rPr>
          <w:rStyle w:val="FootnoteReference"/>
          <w:rFonts w:cs="Times New Roman"/>
        </w:rPr>
        <w:footnoteReference w:id="10"/>
      </w:r>
      <w:r>
        <w:rPr>
          <w:rFonts w:ascii="Times New Roman" w:hAnsi="Times New Roman" w:cs="Times New Roman"/>
        </w:rPr>
        <w:t>and t</w:t>
      </w:r>
      <w:r w:rsidRPr="00433CF5">
        <w:rPr>
          <w:rFonts w:ascii="Times New Roman" w:hAnsi="Times New Roman" w:cs="Times New Roman"/>
        </w:rPr>
        <w:t>he United Nations Committee on Economic, Social and Cultural Rights has recently supported a submission by the New Zealand Human Rights Commission that the Government adopt</w:t>
      </w:r>
      <w:r>
        <w:rPr>
          <w:rFonts w:ascii="Times New Roman" w:hAnsi="Times New Roman" w:cs="Times New Roman"/>
        </w:rPr>
        <w:t>s</w:t>
      </w:r>
      <w:r w:rsidRPr="00433CF5">
        <w:rPr>
          <w:rFonts w:ascii="Times New Roman" w:hAnsi="Times New Roman" w:cs="Times New Roman"/>
        </w:rPr>
        <w:t xml:space="preserve"> a human rights-based national housing </w:t>
      </w:r>
      <w:r>
        <w:rPr>
          <w:rFonts w:ascii="Times New Roman" w:hAnsi="Times New Roman" w:cs="Times New Roman"/>
        </w:rPr>
        <w:t>s</w:t>
      </w:r>
      <w:r w:rsidRPr="00433CF5">
        <w:rPr>
          <w:rFonts w:ascii="Times New Roman" w:hAnsi="Times New Roman" w:cs="Times New Roman"/>
        </w:rPr>
        <w:t>trategy</w:t>
      </w:r>
      <w:r>
        <w:rPr>
          <w:rFonts w:ascii="Times New Roman" w:hAnsi="Times New Roman" w:cs="Times New Roman"/>
        </w:rPr>
        <w:t>,</w:t>
      </w:r>
      <w:r w:rsidRPr="00433CF5">
        <w:rPr>
          <w:rFonts w:ascii="Times New Roman" w:hAnsi="Times New Roman" w:cs="Times New Roman"/>
        </w:rPr>
        <w:t xml:space="preserve"> asking it to report back on progress within 18 months.</w:t>
      </w:r>
      <w:r w:rsidRPr="00433CF5">
        <w:rPr>
          <w:rStyle w:val="FootnoteReference"/>
          <w:rFonts w:cs="Times New Roman"/>
        </w:rPr>
        <w:footnoteReference w:id="11"/>
      </w:r>
    </w:p>
    <w:p w:rsidR="00180B19" w:rsidRPr="00180B19" w:rsidRDefault="000C7282" w:rsidP="000C7282">
      <w:pPr>
        <w:spacing w:line="240" w:lineRule="auto"/>
        <w:jc w:val="both"/>
        <w:rPr>
          <w:rFonts w:ascii="Times New Roman" w:hAnsi="Times New Roman" w:cs="Times New Roman"/>
          <w:color w:val="00B0F0"/>
        </w:rPr>
      </w:pPr>
      <w:r w:rsidRPr="00180B19">
        <w:rPr>
          <w:rFonts w:ascii="Times New Roman" w:hAnsi="Times New Roman" w:cs="Times New Roman"/>
          <w:color w:val="00B0F0"/>
        </w:rPr>
        <w:t xml:space="preserve">Young v Attorney-General [2018] NZCA 307 </w:t>
      </w:r>
    </w:p>
    <w:p w:rsidR="000C7282" w:rsidRDefault="00180B19" w:rsidP="000C7282">
      <w:pPr>
        <w:spacing w:line="240" w:lineRule="auto"/>
        <w:jc w:val="both"/>
        <w:rPr>
          <w:rFonts w:ascii="Times New Roman" w:hAnsi="Times New Roman" w:cs="Times New Roman"/>
        </w:rPr>
      </w:pPr>
      <w:r>
        <w:rPr>
          <w:rFonts w:ascii="Times New Roman" w:hAnsi="Times New Roman" w:cs="Times New Roman"/>
          <w:i/>
        </w:rPr>
        <w:t>R</w:t>
      </w:r>
      <w:r w:rsidR="000C7282" w:rsidRPr="005871E0">
        <w:rPr>
          <w:rFonts w:ascii="Times New Roman" w:hAnsi="Times New Roman" w:cs="Times New Roman"/>
          <w:i/>
        </w:rPr>
        <w:t>ight to an effective remedy</w:t>
      </w:r>
      <w:r w:rsidR="000C7282" w:rsidRPr="005871E0">
        <w:rPr>
          <w:rFonts w:ascii="Times New Roman" w:hAnsi="Times New Roman" w:cs="Times New Roman"/>
        </w:rPr>
        <w:t xml:space="preserve">  </w:t>
      </w:r>
    </w:p>
    <w:p w:rsidR="000C7282" w:rsidRDefault="00BF3FBB" w:rsidP="000C7282">
      <w:pPr>
        <w:spacing w:line="240" w:lineRule="auto"/>
        <w:jc w:val="both"/>
        <w:rPr>
          <w:rFonts w:ascii="Times New Roman" w:hAnsi="Times New Roman" w:cs="Times New Roman"/>
        </w:rPr>
      </w:pPr>
      <w:r>
        <w:rPr>
          <w:rFonts w:ascii="Times New Roman" w:hAnsi="Times New Roman" w:cs="Times New Roman"/>
        </w:rPr>
        <w:t xml:space="preserve">Ms Young </w:t>
      </w:r>
      <w:r w:rsidR="000C7282">
        <w:rPr>
          <w:rFonts w:ascii="Times New Roman" w:hAnsi="Times New Roman" w:cs="Times New Roman"/>
        </w:rPr>
        <w:t xml:space="preserve">joined the New Zealand Navy in 2008. She was selected for officer training </w:t>
      </w:r>
      <w:r>
        <w:rPr>
          <w:rFonts w:ascii="Times New Roman" w:hAnsi="Times New Roman" w:cs="Times New Roman"/>
        </w:rPr>
        <w:t xml:space="preserve">and </w:t>
      </w:r>
      <w:r w:rsidR="000C7282">
        <w:rPr>
          <w:rFonts w:ascii="Times New Roman" w:hAnsi="Times New Roman" w:cs="Times New Roman"/>
        </w:rPr>
        <w:t xml:space="preserve">training with the Royal Navy in the United Kingdom. While </w:t>
      </w:r>
      <w:r w:rsidR="008419B7">
        <w:rPr>
          <w:rFonts w:ascii="Times New Roman" w:hAnsi="Times New Roman" w:cs="Times New Roman"/>
        </w:rPr>
        <w:t xml:space="preserve">in </w:t>
      </w:r>
      <w:r w:rsidR="000C7282">
        <w:rPr>
          <w:rFonts w:ascii="Times New Roman" w:hAnsi="Times New Roman" w:cs="Times New Roman"/>
        </w:rPr>
        <w:t>the</w:t>
      </w:r>
      <w:r w:rsidR="008419B7">
        <w:rPr>
          <w:rFonts w:ascii="Times New Roman" w:hAnsi="Times New Roman" w:cs="Times New Roman"/>
        </w:rPr>
        <w:t xml:space="preserve"> UK</w:t>
      </w:r>
      <w:r w:rsidR="000C7282">
        <w:rPr>
          <w:rFonts w:ascii="Times New Roman" w:hAnsi="Times New Roman" w:cs="Times New Roman"/>
        </w:rPr>
        <w:t xml:space="preserve"> she continued to be paid by the New Zealand navy</w:t>
      </w:r>
      <w:r>
        <w:rPr>
          <w:rFonts w:ascii="Times New Roman" w:hAnsi="Times New Roman" w:cs="Times New Roman"/>
        </w:rPr>
        <w:t xml:space="preserve">, </w:t>
      </w:r>
      <w:r w:rsidR="000C7282">
        <w:rPr>
          <w:rFonts w:ascii="Times New Roman" w:hAnsi="Times New Roman" w:cs="Times New Roman"/>
        </w:rPr>
        <w:t xml:space="preserve">the expectation </w:t>
      </w:r>
      <w:r>
        <w:rPr>
          <w:rFonts w:ascii="Times New Roman" w:hAnsi="Times New Roman" w:cs="Times New Roman"/>
        </w:rPr>
        <w:t>being t</w:t>
      </w:r>
      <w:r w:rsidR="000C7282">
        <w:rPr>
          <w:rFonts w:ascii="Times New Roman" w:hAnsi="Times New Roman" w:cs="Times New Roman"/>
        </w:rPr>
        <w:t>hat she would return to New Zealand on completing her training. During her time with the Royal Navy she was subjected to sexual harassment including non-consensual sexual intercourse. Having made several unsuccessful attempts to complain she took her case to the High Court in New Zealand arguing that the UK Ministry of Defence (MOD)</w:t>
      </w:r>
      <w:r w:rsidR="008419B7">
        <w:rPr>
          <w:rFonts w:ascii="Times New Roman" w:hAnsi="Times New Roman" w:cs="Times New Roman"/>
        </w:rPr>
        <w:t xml:space="preserve"> </w:t>
      </w:r>
      <w:r w:rsidR="000C7282">
        <w:rPr>
          <w:rFonts w:ascii="Times New Roman" w:hAnsi="Times New Roman" w:cs="Times New Roman"/>
        </w:rPr>
        <w:t xml:space="preserve">(UK) owed her a duty of care to take all reasonable steps to ensure her safety </w:t>
      </w:r>
      <w:r w:rsidR="008419B7">
        <w:rPr>
          <w:rFonts w:ascii="Times New Roman" w:hAnsi="Times New Roman" w:cs="Times New Roman"/>
        </w:rPr>
        <w:t xml:space="preserve">and not </w:t>
      </w:r>
      <w:r w:rsidR="000C7282">
        <w:rPr>
          <w:rFonts w:ascii="Times New Roman" w:hAnsi="Times New Roman" w:cs="Times New Roman"/>
        </w:rPr>
        <w:t xml:space="preserve">allow her to be subjected to behaviour that created an intimidating, hostile or humiliating environment. </w:t>
      </w:r>
      <w:r w:rsidR="008419B7">
        <w:rPr>
          <w:rFonts w:ascii="Times New Roman" w:hAnsi="Times New Roman" w:cs="Times New Roman"/>
        </w:rPr>
        <w:t>By</w:t>
      </w:r>
      <w:r w:rsidR="000C7282">
        <w:rPr>
          <w:rFonts w:ascii="Times New Roman" w:hAnsi="Times New Roman" w:cs="Times New Roman"/>
        </w:rPr>
        <w:t xml:space="preserve"> not doing so, the MOD and the New Zealand Attorney-General jointly were vicariously liable for the tort of battery. </w:t>
      </w:r>
    </w:p>
    <w:p w:rsidR="000C7282" w:rsidRDefault="00BF3FBB" w:rsidP="000C7282">
      <w:pPr>
        <w:spacing w:line="240" w:lineRule="auto"/>
        <w:jc w:val="both"/>
        <w:rPr>
          <w:rFonts w:ascii="Times New Roman" w:hAnsi="Times New Roman" w:cs="Times New Roman"/>
        </w:rPr>
      </w:pPr>
      <w:r>
        <w:rPr>
          <w:rFonts w:ascii="Times New Roman" w:hAnsi="Times New Roman" w:cs="Times New Roman"/>
        </w:rPr>
        <w:t>Th</w:t>
      </w:r>
      <w:r w:rsidR="000C7282">
        <w:rPr>
          <w:rFonts w:ascii="Times New Roman" w:hAnsi="Times New Roman" w:cs="Times New Roman"/>
        </w:rPr>
        <w:t>e MOD w</w:t>
      </w:r>
      <w:r>
        <w:rPr>
          <w:rFonts w:ascii="Times New Roman" w:hAnsi="Times New Roman" w:cs="Times New Roman"/>
        </w:rPr>
        <w:t>as</w:t>
      </w:r>
      <w:r w:rsidR="000C7282">
        <w:rPr>
          <w:rFonts w:ascii="Times New Roman" w:hAnsi="Times New Roman" w:cs="Times New Roman"/>
        </w:rPr>
        <w:t xml:space="preserve"> served without leave of the High Court </w:t>
      </w:r>
      <w:r>
        <w:rPr>
          <w:rFonts w:ascii="Times New Roman" w:hAnsi="Times New Roman" w:cs="Times New Roman"/>
        </w:rPr>
        <w:t>and</w:t>
      </w:r>
      <w:r w:rsidR="000C7282">
        <w:rPr>
          <w:rFonts w:ascii="Times New Roman" w:hAnsi="Times New Roman" w:cs="Times New Roman"/>
        </w:rPr>
        <w:t xml:space="preserve"> claimed absence of jurisdiction</w:t>
      </w:r>
      <w:r w:rsidR="000C7282">
        <w:rPr>
          <w:rStyle w:val="FootnoteReference"/>
          <w:rFonts w:ascii="Times New Roman" w:hAnsi="Times New Roman" w:cs="Times New Roman"/>
        </w:rPr>
        <w:footnoteReference w:id="12"/>
      </w:r>
      <w:r w:rsidR="000C7282">
        <w:rPr>
          <w:rFonts w:ascii="Times New Roman" w:hAnsi="Times New Roman" w:cs="Times New Roman"/>
        </w:rPr>
        <w:t xml:space="preserve">. Simon France J ruled that the appellant’s challenge to the MOD’s claim of state immunity could not succeed for a number of reasons including that </w:t>
      </w:r>
      <w:r>
        <w:rPr>
          <w:rFonts w:ascii="Times New Roman" w:hAnsi="Times New Roman" w:cs="Times New Roman"/>
        </w:rPr>
        <w:t>an</w:t>
      </w:r>
      <w:r w:rsidR="000C7282">
        <w:rPr>
          <w:rFonts w:ascii="Times New Roman" w:hAnsi="Times New Roman" w:cs="Times New Roman"/>
        </w:rPr>
        <w:t xml:space="preserve"> exception to state immunity for allegations of breaches of fundamental rights </w:t>
      </w:r>
      <w:r>
        <w:rPr>
          <w:rFonts w:ascii="Times New Roman" w:hAnsi="Times New Roman" w:cs="Times New Roman"/>
        </w:rPr>
        <w:t>is not recognised. W</w:t>
      </w:r>
      <w:r w:rsidR="000C7282">
        <w:rPr>
          <w:rFonts w:ascii="Times New Roman" w:hAnsi="Times New Roman" w:cs="Times New Roman"/>
        </w:rPr>
        <w:t>hile there was a commercial exception, to succeed it would need more ‘systemic state sponsored violations of human rights’ than those alleged. Further</w:t>
      </w:r>
      <w:r>
        <w:rPr>
          <w:rFonts w:ascii="Times New Roman" w:hAnsi="Times New Roman" w:cs="Times New Roman"/>
        </w:rPr>
        <w:t>,</w:t>
      </w:r>
      <w:r w:rsidR="000C7282">
        <w:rPr>
          <w:rFonts w:ascii="Times New Roman" w:hAnsi="Times New Roman" w:cs="Times New Roman"/>
        </w:rPr>
        <w:t xml:space="preserve"> absence of jurisdiction would not be consistent with the dignity of a foreign state as it could require investigation into the internal policies and procedures of the Royal Navy.</w:t>
      </w:r>
    </w:p>
    <w:p w:rsidR="000C7282" w:rsidRDefault="000C7282" w:rsidP="000C7282">
      <w:pPr>
        <w:spacing w:line="240" w:lineRule="auto"/>
        <w:jc w:val="both"/>
        <w:rPr>
          <w:rFonts w:ascii="Times New Roman" w:hAnsi="Times New Roman" w:cs="Times New Roman"/>
        </w:rPr>
      </w:pPr>
      <w:r>
        <w:rPr>
          <w:rFonts w:ascii="Times New Roman" w:hAnsi="Times New Roman" w:cs="Times New Roman"/>
        </w:rPr>
        <w:t>Ms Young appealed to the Court of Appeal arguing that New Zealand should recognise a public policy based “iniquity exception” wh</w:t>
      </w:r>
      <w:r w:rsidR="00BF3FBB">
        <w:rPr>
          <w:rFonts w:ascii="Times New Roman" w:hAnsi="Times New Roman" w:cs="Times New Roman"/>
        </w:rPr>
        <w:t>ich meant that</w:t>
      </w:r>
      <w:r>
        <w:rPr>
          <w:rFonts w:ascii="Times New Roman" w:hAnsi="Times New Roman" w:cs="Times New Roman"/>
        </w:rPr>
        <w:t xml:space="preserve"> state immunity did not apply if an impugned activity breached a fundamental principle of justice or some deep-rooted tradition of the forum state. Before the Court she broadened her argument to include the contention that New Zealand </w:t>
      </w:r>
      <w:r w:rsidR="00D05E25">
        <w:rPr>
          <w:rFonts w:ascii="Times New Roman" w:hAnsi="Times New Roman" w:cs="Times New Roman"/>
        </w:rPr>
        <w:t>had</w:t>
      </w:r>
      <w:r>
        <w:rPr>
          <w:rFonts w:ascii="Times New Roman" w:hAnsi="Times New Roman" w:cs="Times New Roman"/>
        </w:rPr>
        <w:t xml:space="preserve"> a non-</w:t>
      </w:r>
      <w:proofErr w:type="spellStart"/>
      <w:r>
        <w:rPr>
          <w:rFonts w:ascii="Times New Roman" w:hAnsi="Times New Roman" w:cs="Times New Roman"/>
        </w:rPr>
        <w:t>derogable</w:t>
      </w:r>
      <w:proofErr w:type="spellEnd"/>
      <w:r>
        <w:rPr>
          <w:rFonts w:ascii="Times New Roman" w:hAnsi="Times New Roman" w:cs="Times New Roman"/>
        </w:rPr>
        <w:t xml:space="preserve"> obligation to provide her with an effective remedy for what she had suffered in the UK. This obligation was said to arise through the NZBORA and its affirmation of the Covenant on Civil and Political Rights and various other international treaties and international customary law including the </w:t>
      </w:r>
      <w:r w:rsidRPr="00205A85">
        <w:rPr>
          <w:rFonts w:ascii="Times New Roman" w:hAnsi="Times New Roman" w:cs="Times New Roman"/>
          <w:i/>
        </w:rPr>
        <w:t>UN Principles and Guidelines on the Right to a Remedy and Reparation</w:t>
      </w:r>
      <w:r>
        <w:rPr>
          <w:rStyle w:val="FootnoteReference"/>
          <w:rFonts w:ascii="Times New Roman" w:hAnsi="Times New Roman" w:cs="Times New Roman"/>
        </w:rPr>
        <w:footnoteReference w:id="13"/>
      </w:r>
      <w:r>
        <w:rPr>
          <w:rFonts w:ascii="Times New Roman" w:hAnsi="Times New Roman" w:cs="Times New Roman"/>
        </w:rPr>
        <w:t xml:space="preserve"> and </w:t>
      </w:r>
      <w:r w:rsidRPr="00205A85">
        <w:rPr>
          <w:rFonts w:ascii="Times New Roman" w:hAnsi="Times New Roman" w:cs="Times New Roman"/>
          <w:i/>
        </w:rPr>
        <w:t>Draft Articles on State Responsibility</w:t>
      </w:r>
      <w:r>
        <w:rPr>
          <w:rStyle w:val="FootnoteReference"/>
          <w:rFonts w:ascii="Times New Roman" w:hAnsi="Times New Roman" w:cs="Times New Roman"/>
        </w:rPr>
        <w:footnoteReference w:id="14"/>
      </w:r>
      <w:r>
        <w:rPr>
          <w:rFonts w:ascii="Times New Roman" w:hAnsi="Times New Roman" w:cs="Times New Roman"/>
        </w:rPr>
        <w:t xml:space="preserve">. </w:t>
      </w:r>
    </w:p>
    <w:p w:rsidR="000C7282" w:rsidRDefault="000C7282" w:rsidP="000C7282">
      <w:pPr>
        <w:spacing w:line="240" w:lineRule="auto"/>
        <w:jc w:val="both"/>
        <w:rPr>
          <w:rFonts w:ascii="Times New Roman" w:hAnsi="Times New Roman" w:cs="Times New Roman"/>
        </w:rPr>
      </w:pPr>
      <w:r>
        <w:rPr>
          <w:rFonts w:ascii="Times New Roman" w:hAnsi="Times New Roman" w:cs="Times New Roman"/>
        </w:rPr>
        <w:t xml:space="preserve">The issues raised by the appeal were whether New Zealand had an obligation to provide her with a remedy as a matter of domestic law or international law </w:t>
      </w:r>
      <w:r w:rsidR="00205A85">
        <w:rPr>
          <w:rFonts w:ascii="Times New Roman" w:hAnsi="Times New Roman" w:cs="Times New Roman"/>
        </w:rPr>
        <w:t xml:space="preserve">given </w:t>
      </w:r>
      <w:r>
        <w:rPr>
          <w:rFonts w:ascii="Times New Roman" w:hAnsi="Times New Roman" w:cs="Times New Roman"/>
        </w:rPr>
        <w:t xml:space="preserve">the violation of Ms Young’s fundamental rights; whether the alleged wrongdoing breached a principle of justice to the extent that the iniquity exception to state immunity applied; and whether the Courts in the UK or NZ were the appropriate forum.    </w:t>
      </w:r>
    </w:p>
    <w:p w:rsidR="000C7282" w:rsidRDefault="000C7282" w:rsidP="000C7282">
      <w:pPr>
        <w:spacing w:line="240" w:lineRule="auto"/>
        <w:jc w:val="both"/>
        <w:rPr>
          <w:rFonts w:ascii="Times New Roman" w:hAnsi="Times New Roman" w:cs="Times New Roman"/>
        </w:rPr>
      </w:pPr>
      <w:r>
        <w:rPr>
          <w:rFonts w:ascii="Times New Roman" w:hAnsi="Times New Roman" w:cs="Times New Roman"/>
        </w:rPr>
        <w:t>After dealing with the theory underlying the concepts of state immunity and jurisdiction generally, the Court addressed the issue of whether New Zealand owed Ms Young a remedy as part of its commitment to the ICCPR through its reference in the long title of the NZBORA. While the Court recognised that there was no reason in principle why the NZBORA could not apply to offshore acts that would otherwise be caught by s.3, the MOD (UK) was not an entity for the purposes of s.3</w:t>
      </w:r>
      <w:r w:rsidR="00205A85">
        <w:rPr>
          <w:rFonts w:ascii="Times New Roman" w:hAnsi="Times New Roman" w:cs="Times New Roman"/>
        </w:rPr>
        <w:t>. T</w:t>
      </w:r>
      <w:r>
        <w:rPr>
          <w:rFonts w:ascii="Times New Roman" w:hAnsi="Times New Roman" w:cs="Times New Roman"/>
        </w:rPr>
        <w:t xml:space="preserve">he appellant’s argument that the New Zealand state had an obligation to provide an effective remedy under the NZBORA </w:t>
      </w:r>
      <w:r w:rsidR="00205A85">
        <w:rPr>
          <w:rFonts w:ascii="Times New Roman" w:hAnsi="Times New Roman" w:cs="Times New Roman"/>
        </w:rPr>
        <w:t xml:space="preserve">domestically </w:t>
      </w:r>
      <w:r>
        <w:rPr>
          <w:rFonts w:ascii="Times New Roman" w:hAnsi="Times New Roman" w:cs="Times New Roman"/>
        </w:rPr>
        <w:t>irrespective of the identity of the wrongdoer was</w:t>
      </w:r>
      <w:r w:rsidR="00D05E25">
        <w:rPr>
          <w:rFonts w:ascii="Times New Roman" w:hAnsi="Times New Roman" w:cs="Times New Roman"/>
        </w:rPr>
        <w:t xml:space="preserve"> i</w:t>
      </w:r>
      <w:r>
        <w:rPr>
          <w:rFonts w:ascii="Times New Roman" w:hAnsi="Times New Roman" w:cs="Times New Roman"/>
        </w:rPr>
        <w:t xml:space="preserve">ncorrect: at [53]. The question then </w:t>
      </w:r>
      <w:r w:rsidR="00205A85">
        <w:rPr>
          <w:rFonts w:ascii="Times New Roman" w:hAnsi="Times New Roman" w:cs="Times New Roman"/>
        </w:rPr>
        <w:t xml:space="preserve">became </w:t>
      </w:r>
      <w:r>
        <w:rPr>
          <w:rFonts w:ascii="Times New Roman" w:hAnsi="Times New Roman" w:cs="Times New Roman"/>
        </w:rPr>
        <w:t xml:space="preserve">whether there was an obligation as a matter of international law as a result of various treaties or customary international law. In relation to customary law, the </w:t>
      </w:r>
      <w:r w:rsidR="00205A85">
        <w:rPr>
          <w:rFonts w:ascii="Times New Roman" w:hAnsi="Times New Roman" w:cs="Times New Roman"/>
        </w:rPr>
        <w:t>C</w:t>
      </w:r>
      <w:r>
        <w:rPr>
          <w:rFonts w:ascii="Times New Roman" w:hAnsi="Times New Roman" w:cs="Times New Roman"/>
        </w:rPr>
        <w:t xml:space="preserve">ourt found that international practice did not support the argument that New Zealand </w:t>
      </w:r>
      <w:r w:rsidR="00205A85">
        <w:rPr>
          <w:rFonts w:ascii="Times New Roman" w:hAnsi="Times New Roman" w:cs="Times New Roman"/>
        </w:rPr>
        <w:t>had</w:t>
      </w:r>
      <w:r>
        <w:rPr>
          <w:rFonts w:ascii="Times New Roman" w:hAnsi="Times New Roman" w:cs="Times New Roman"/>
        </w:rPr>
        <w:t xml:space="preserve"> an obligation to provide a remedy for the conduct of Royal Navy personnel in the UK. As for the impact of the treaties, the content of the ICCPR, CAT and CEDAW d</w:t>
      </w:r>
      <w:r w:rsidR="00205A85">
        <w:rPr>
          <w:rFonts w:ascii="Times New Roman" w:hAnsi="Times New Roman" w:cs="Times New Roman"/>
        </w:rPr>
        <w:t>id</w:t>
      </w:r>
      <w:r>
        <w:rPr>
          <w:rFonts w:ascii="Times New Roman" w:hAnsi="Times New Roman" w:cs="Times New Roman"/>
        </w:rPr>
        <w:t xml:space="preserve"> not remove the jurisdictional consequences of the doctrine of state immunity: at [79]. The appellant’s argument that Ms Young was subject to the de facto and de jure control of the New Zealand state even though the wrongful conduct occurred in the UK was similarly unsuccessful. The Court of Appeal also agree</w:t>
      </w:r>
      <w:r w:rsidR="00D05E25">
        <w:rPr>
          <w:rFonts w:ascii="Times New Roman" w:hAnsi="Times New Roman" w:cs="Times New Roman"/>
        </w:rPr>
        <w:t>d</w:t>
      </w:r>
      <w:r>
        <w:rPr>
          <w:rFonts w:ascii="Times New Roman" w:hAnsi="Times New Roman" w:cs="Times New Roman"/>
        </w:rPr>
        <w:t xml:space="preserve"> with the High Court that at common law there is no recognised exception to state immunity for allegations of fundamental human rights.  </w:t>
      </w:r>
    </w:p>
    <w:p w:rsidR="00180B19" w:rsidRPr="00180B19" w:rsidRDefault="000C7282" w:rsidP="000C7282">
      <w:pPr>
        <w:spacing w:line="240" w:lineRule="auto"/>
        <w:ind w:left="720" w:hanging="720"/>
        <w:jc w:val="both"/>
        <w:rPr>
          <w:rFonts w:ascii="Times New Roman" w:hAnsi="Times New Roman" w:cs="Times New Roman"/>
          <w:color w:val="00B0F0"/>
        </w:rPr>
      </w:pPr>
      <w:r w:rsidRPr="00180B19">
        <w:rPr>
          <w:rFonts w:ascii="Times New Roman" w:hAnsi="Times New Roman" w:cs="Times New Roman"/>
          <w:color w:val="00B0F0"/>
        </w:rPr>
        <w:t xml:space="preserve">WK v Refugee and Protection Officer [2018] NZCA 258 </w:t>
      </w:r>
    </w:p>
    <w:p w:rsidR="000C7282" w:rsidRPr="00533B68" w:rsidRDefault="00180B19" w:rsidP="000C7282">
      <w:pPr>
        <w:spacing w:line="240" w:lineRule="auto"/>
        <w:ind w:left="720" w:hanging="720"/>
        <w:jc w:val="both"/>
        <w:rPr>
          <w:rFonts w:ascii="Times New Roman" w:hAnsi="Times New Roman" w:cs="Times New Roman"/>
          <w:i/>
        </w:rPr>
      </w:pPr>
      <w:r>
        <w:rPr>
          <w:rFonts w:ascii="Times New Roman" w:hAnsi="Times New Roman" w:cs="Times New Roman"/>
          <w:i/>
        </w:rPr>
        <w:t>R</w:t>
      </w:r>
      <w:r w:rsidR="000C7282">
        <w:rPr>
          <w:rFonts w:ascii="Times New Roman" w:hAnsi="Times New Roman" w:cs="Times New Roman"/>
          <w:i/>
        </w:rPr>
        <w:t xml:space="preserve">ight to refuge </w:t>
      </w:r>
    </w:p>
    <w:p w:rsidR="000C7282" w:rsidRDefault="000C7282" w:rsidP="000C7282">
      <w:pPr>
        <w:spacing w:line="240" w:lineRule="auto"/>
        <w:jc w:val="both"/>
        <w:rPr>
          <w:rFonts w:ascii="Times New Roman" w:hAnsi="Times New Roman" w:cs="Times New Roman"/>
        </w:rPr>
      </w:pPr>
      <w:r>
        <w:rPr>
          <w:rFonts w:ascii="Times New Roman" w:hAnsi="Times New Roman" w:cs="Times New Roman"/>
        </w:rPr>
        <w:t xml:space="preserve">WK was a Turkish national who had made </w:t>
      </w:r>
      <w:r w:rsidR="00205A85">
        <w:rPr>
          <w:rFonts w:ascii="Times New Roman" w:hAnsi="Times New Roman" w:cs="Times New Roman"/>
        </w:rPr>
        <w:t>a number of</w:t>
      </w:r>
      <w:r>
        <w:rPr>
          <w:rFonts w:ascii="Times New Roman" w:hAnsi="Times New Roman" w:cs="Times New Roman"/>
        </w:rPr>
        <w:t xml:space="preserve"> claims for refugee status in New Zealand. </w:t>
      </w:r>
      <w:r w:rsidR="00205A85">
        <w:rPr>
          <w:rFonts w:ascii="Times New Roman" w:hAnsi="Times New Roman" w:cs="Times New Roman"/>
        </w:rPr>
        <w:t>The</w:t>
      </w:r>
      <w:r>
        <w:rPr>
          <w:rFonts w:ascii="Times New Roman" w:hAnsi="Times New Roman" w:cs="Times New Roman"/>
        </w:rPr>
        <w:t xml:space="preserve"> fourth application </w:t>
      </w:r>
      <w:r w:rsidR="00921EBC">
        <w:rPr>
          <w:rFonts w:ascii="Times New Roman" w:hAnsi="Times New Roman" w:cs="Times New Roman"/>
        </w:rPr>
        <w:t xml:space="preserve">was declined </w:t>
      </w:r>
      <w:r>
        <w:rPr>
          <w:rFonts w:ascii="Times New Roman" w:hAnsi="Times New Roman" w:cs="Times New Roman"/>
        </w:rPr>
        <w:t xml:space="preserve">on the grounds that it repeated what had already been said and was manifestly unfounded and abusive. </w:t>
      </w:r>
      <w:r w:rsidR="00921EBC">
        <w:rPr>
          <w:rFonts w:ascii="Times New Roman" w:hAnsi="Times New Roman" w:cs="Times New Roman"/>
        </w:rPr>
        <w:t>Following</w:t>
      </w:r>
      <w:r>
        <w:rPr>
          <w:rFonts w:ascii="Times New Roman" w:hAnsi="Times New Roman" w:cs="Times New Roman"/>
        </w:rPr>
        <w:t xml:space="preserve"> the High Court</w:t>
      </w:r>
      <w:r w:rsidR="00921EBC">
        <w:rPr>
          <w:rFonts w:ascii="Times New Roman" w:hAnsi="Times New Roman" w:cs="Times New Roman"/>
        </w:rPr>
        <w:t>’s dismissal of</w:t>
      </w:r>
      <w:r w:rsidR="00205A85">
        <w:rPr>
          <w:rFonts w:ascii="Times New Roman" w:hAnsi="Times New Roman" w:cs="Times New Roman"/>
        </w:rPr>
        <w:t xml:space="preserve"> W’</w:t>
      </w:r>
      <w:r w:rsidR="00921EBC">
        <w:rPr>
          <w:rFonts w:ascii="Times New Roman" w:hAnsi="Times New Roman" w:cs="Times New Roman"/>
        </w:rPr>
        <w:t xml:space="preserve">s </w:t>
      </w:r>
      <w:r w:rsidR="00205A85">
        <w:rPr>
          <w:rFonts w:ascii="Times New Roman" w:hAnsi="Times New Roman" w:cs="Times New Roman"/>
        </w:rPr>
        <w:t xml:space="preserve">subsequent </w:t>
      </w:r>
      <w:r w:rsidR="00921EBC">
        <w:rPr>
          <w:rFonts w:ascii="Times New Roman" w:hAnsi="Times New Roman" w:cs="Times New Roman"/>
        </w:rPr>
        <w:t xml:space="preserve">application </w:t>
      </w:r>
      <w:r>
        <w:rPr>
          <w:rFonts w:ascii="Times New Roman" w:hAnsi="Times New Roman" w:cs="Times New Roman"/>
        </w:rPr>
        <w:t>for judicial review</w:t>
      </w:r>
      <w:r>
        <w:rPr>
          <w:rStyle w:val="FootnoteReference"/>
          <w:rFonts w:ascii="Times New Roman" w:hAnsi="Times New Roman" w:cs="Times New Roman"/>
        </w:rPr>
        <w:footnoteReference w:id="15"/>
      </w:r>
      <w:r w:rsidR="00921EBC">
        <w:rPr>
          <w:rFonts w:ascii="Times New Roman" w:hAnsi="Times New Roman" w:cs="Times New Roman"/>
        </w:rPr>
        <w:t xml:space="preserve">he </w:t>
      </w:r>
      <w:r>
        <w:rPr>
          <w:rFonts w:ascii="Times New Roman" w:hAnsi="Times New Roman" w:cs="Times New Roman"/>
        </w:rPr>
        <w:t xml:space="preserve">appealed to the Court of Appeal.  </w:t>
      </w:r>
    </w:p>
    <w:p w:rsidR="000C7282" w:rsidRDefault="000C7282" w:rsidP="000C7282">
      <w:pPr>
        <w:spacing w:line="240" w:lineRule="auto"/>
        <w:jc w:val="both"/>
        <w:rPr>
          <w:rFonts w:ascii="Times New Roman" w:hAnsi="Times New Roman" w:cs="Times New Roman"/>
        </w:rPr>
      </w:pPr>
      <w:r>
        <w:rPr>
          <w:rFonts w:ascii="Times New Roman" w:hAnsi="Times New Roman" w:cs="Times New Roman"/>
        </w:rPr>
        <w:t xml:space="preserve">The Immigration Act 2009 recognises a person as a refugee if they meet the requirements of the Refugee Convention. Namely, have a well-founded fear of persecution for reason of race, religion, nationality or membership of a particular group or political opinion, is outside his or her country of origin and is unable or unwilling to avail himself or herself of that country’s protection. The risk of persecution must be “well-founded” in the sense of there being a real as opposed to a remote or speculative chance of it occurring. Successive claims may be made if there has been a significant change in the claimant’s circumstances since the previous claims. </w:t>
      </w:r>
    </w:p>
    <w:p w:rsidR="00921EBC" w:rsidRDefault="000C7282" w:rsidP="000C7282">
      <w:pPr>
        <w:spacing w:line="240" w:lineRule="auto"/>
        <w:jc w:val="both"/>
        <w:rPr>
          <w:rFonts w:ascii="Times New Roman" w:hAnsi="Times New Roman" w:cs="Times New Roman"/>
        </w:rPr>
      </w:pPr>
      <w:r>
        <w:rPr>
          <w:rFonts w:ascii="Times New Roman" w:hAnsi="Times New Roman" w:cs="Times New Roman"/>
        </w:rPr>
        <w:t>WK had arrived in New Zealand in 2011 and made his first claim for refugee status in 2012. The claim was based on his conversion to Christianity in 2001. He feared he would be killed or seriously harmed by his Muslim relatives and persecuted by ultra-nationalists and state agents if he returned to Turkey. While the RPO acknowledged there may be some substance to his claim, it was</w:t>
      </w:r>
      <w:r w:rsidR="00921EBC">
        <w:rPr>
          <w:rFonts w:ascii="Times New Roman" w:hAnsi="Times New Roman" w:cs="Times New Roman"/>
        </w:rPr>
        <w:t xml:space="preserve"> nevertheless</w:t>
      </w:r>
      <w:r>
        <w:rPr>
          <w:rFonts w:ascii="Times New Roman" w:hAnsi="Times New Roman" w:cs="Times New Roman"/>
        </w:rPr>
        <w:t xml:space="preserve"> dismissed as “speculative or remote”. WK then lodged a second claim arguing that he wanted to be a Christian pastor and had posted comments on Facebook criticising Turkish nationalism and the Turkish government. The RPO established that a number of people had made similar posts but </w:t>
      </w:r>
      <w:r w:rsidR="00921EBC">
        <w:rPr>
          <w:rFonts w:ascii="Times New Roman" w:hAnsi="Times New Roman" w:cs="Times New Roman"/>
        </w:rPr>
        <w:t xml:space="preserve">the </w:t>
      </w:r>
      <w:r>
        <w:rPr>
          <w:rFonts w:ascii="Times New Roman" w:hAnsi="Times New Roman" w:cs="Times New Roman"/>
        </w:rPr>
        <w:t xml:space="preserve">resulting prosecution was limited. When he appealed to the </w:t>
      </w:r>
      <w:r w:rsidR="00921EBC">
        <w:rPr>
          <w:rFonts w:ascii="Times New Roman" w:hAnsi="Times New Roman" w:cs="Times New Roman"/>
        </w:rPr>
        <w:t>T</w:t>
      </w:r>
      <w:r>
        <w:rPr>
          <w:rFonts w:ascii="Times New Roman" w:hAnsi="Times New Roman" w:cs="Times New Roman"/>
        </w:rPr>
        <w:t xml:space="preserve">ribunal, WK added a further ground – his conversion to the Mormon faith. Again any persecution was considered only </w:t>
      </w:r>
      <w:r w:rsidR="00921EBC">
        <w:rPr>
          <w:rFonts w:ascii="Times New Roman" w:hAnsi="Times New Roman" w:cs="Times New Roman"/>
        </w:rPr>
        <w:t xml:space="preserve">to be </w:t>
      </w:r>
      <w:r>
        <w:rPr>
          <w:rFonts w:ascii="Times New Roman" w:hAnsi="Times New Roman" w:cs="Times New Roman"/>
        </w:rPr>
        <w:t>speculative and remote. Although he claimed he was abusing alcohol and had mental health issues as a result of his conversion, the Tribunal did not consider that this reached the threshold of exceptional circumstances of a humanitarian nature and dismissed his appeal. He then made a third claim, alleging he feared returning to Turkey because o</w:t>
      </w:r>
      <w:r w:rsidR="00921EBC">
        <w:rPr>
          <w:rFonts w:ascii="Times New Roman" w:hAnsi="Times New Roman" w:cs="Times New Roman"/>
        </w:rPr>
        <w:t>f</w:t>
      </w:r>
      <w:r>
        <w:rPr>
          <w:rFonts w:ascii="Times New Roman" w:hAnsi="Times New Roman" w:cs="Times New Roman"/>
        </w:rPr>
        <w:t xml:space="preserve"> his sexuality, political opinions and opposition to the Turkish government and claiming an increased risk of harm following an attempted coup </w:t>
      </w:r>
      <w:proofErr w:type="spellStart"/>
      <w:r>
        <w:rPr>
          <w:rFonts w:ascii="Times New Roman" w:hAnsi="Times New Roman" w:cs="Times New Roman"/>
        </w:rPr>
        <w:t>d’etat</w:t>
      </w:r>
      <w:proofErr w:type="spellEnd"/>
      <w:r>
        <w:rPr>
          <w:rFonts w:ascii="Times New Roman" w:hAnsi="Times New Roman" w:cs="Times New Roman"/>
        </w:rPr>
        <w:t xml:space="preserve"> in Turkey. He was again unsuccessful the RPO considering that there was no firm evidence that the coup would have an impact on WK’s claim</w:t>
      </w:r>
      <w:r w:rsidR="00921EBC">
        <w:rPr>
          <w:rFonts w:ascii="Times New Roman" w:hAnsi="Times New Roman" w:cs="Times New Roman"/>
        </w:rPr>
        <w:t>.</w:t>
      </w:r>
      <w:r>
        <w:rPr>
          <w:rFonts w:ascii="Times New Roman" w:hAnsi="Times New Roman" w:cs="Times New Roman"/>
        </w:rPr>
        <w:t xml:space="preserve"> </w:t>
      </w:r>
    </w:p>
    <w:p w:rsidR="000C7282" w:rsidRDefault="000C7282" w:rsidP="000C7282">
      <w:pPr>
        <w:spacing w:line="240" w:lineRule="auto"/>
        <w:jc w:val="both"/>
        <w:rPr>
          <w:rFonts w:ascii="Times New Roman" w:hAnsi="Times New Roman" w:cs="Times New Roman"/>
        </w:rPr>
      </w:pPr>
      <w:r>
        <w:rPr>
          <w:rFonts w:ascii="Times New Roman" w:hAnsi="Times New Roman" w:cs="Times New Roman"/>
        </w:rPr>
        <w:t xml:space="preserve">The Tribunal, while acknowledging there </w:t>
      </w:r>
      <w:r w:rsidR="00921EBC">
        <w:rPr>
          <w:rFonts w:ascii="Times New Roman" w:hAnsi="Times New Roman" w:cs="Times New Roman"/>
        </w:rPr>
        <w:t>had been</w:t>
      </w:r>
      <w:r>
        <w:rPr>
          <w:rFonts w:ascii="Times New Roman" w:hAnsi="Times New Roman" w:cs="Times New Roman"/>
        </w:rPr>
        <w:t xml:space="preserve"> no significant change in WK’s actual circumstances, nevertheless found that the issue of his online activity was materially different to earlier information he had provided. </w:t>
      </w:r>
      <w:r w:rsidR="00597EF4">
        <w:rPr>
          <w:rFonts w:ascii="Times New Roman" w:hAnsi="Times New Roman" w:cs="Times New Roman"/>
        </w:rPr>
        <w:t>It</w:t>
      </w:r>
      <w:r>
        <w:rPr>
          <w:rFonts w:ascii="Times New Roman" w:hAnsi="Times New Roman" w:cs="Times New Roman"/>
        </w:rPr>
        <w:t xml:space="preserve"> considered the Turkish government’s responses to anti-government and anti-Islamic statements on social media, noting that while people had been investigated for anti-government social media postings there had been few convictions, the government largely responding to dissent by blocking websites. It concluded that WK’s social media activity was not such that it gave rise to a well-founded fear of persecution and declined his claim.      </w:t>
      </w:r>
    </w:p>
    <w:p w:rsidR="000C7282" w:rsidRDefault="000C7282" w:rsidP="000C7282">
      <w:pPr>
        <w:spacing w:line="240" w:lineRule="auto"/>
        <w:jc w:val="both"/>
        <w:rPr>
          <w:rFonts w:ascii="Times New Roman" w:hAnsi="Times New Roman" w:cs="Times New Roman"/>
        </w:rPr>
      </w:pPr>
      <w:r>
        <w:rPr>
          <w:rFonts w:ascii="Times New Roman" w:hAnsi="Times New Roman" w:cs="Times New Roman"/>
        </w:rPr>
        <w:t>H</w:t>
      </w:r>
      <w:r w:rsidR="00205A85">
        <w:rPr>
          <w:rFonts w:ascii="Times New Roman" w:hAnsi="Times New Roman" w:cs="Times New Roman"/>
        </w:rPr>
        <w:t>is</w:t>
      </w:r>
      <w:r>
        <w:rPr>
          <w:rFonts w:ascii="Times New Roman" w:hAnsi="Times New Roman" w:cs="Times New Roman"/>
        </w:rPr>
        <w:t xml:space="preserve"> fourth claim </w:t>
      </w:r>
      <w:r w:rsidR="00205A85">
        <w:rPr>
          <w:rFonts w:ascii="Times New Roman" w:hAnsi="Times New Roman" w:cs="Times New Roman"/>
        </w:rPr>
        <w:t xml:space="preserve">- </w:t>
      </w:r>
      <w:r>
        <w:rPr>
          <w:rFonts w:ascii="Times New Roman" w:hAnsi="Times New Roman" w:cs="Times New Roman"/>
        </w:rPr>
        <w:t>again based on his media activities</w:t>
      </w:r>
      <w:r w:rsidR="00205A85">
        <w:rPr>
          <w:rFonts w:ascii="Times New Roman" w:hAnsi="Times New Roman" w:cs="Times New Roman"/>
        </w:rPr>
        <w:t xml:space="preserve"> -</w:t>
      </w:r>
      <w:r>
        <w:rPr>
          <w:rFonts w:ascii="Times New Roman" w:hAnsi="Times New Roman" w:cs="Times New Roman"/>
        </w:rPr>
        <w:t xml:space="preserve"> </w:t>
      </w:r>
      <w:r w:rsidR="00205A85">
        <w:rPr>
          <w:rFonts w:ascii="Times New Roman" w:hAnsi="Times New Roman" w:cs="Times New Roman"/>
        </w:rPr>
        <w:t>was</w:t>
      </w:r>
      <w:r>
        <w:rPr>
          <w:rFonts w:ascii="Times New Roman" w:hAnsi="Times New Roman" w:cs="Times New Roman"/>
        </w:rPr>
        <w:t xml:space="preserve"> that his profile had increased, people had abused him on twitter and a former acquaintance had emailed the police copying him in informing them of WK’s activities. </w:t>
      </w:r>
      <w:r w:rsidR="00205A85">
        <w:rPr>
          <w:rFonts w:ascii="Times New Roman" w:hAnsi="Times New Roman" w:cs="Times New Roman"/>
        </w:rPr>
        <w:t>However, t</w:t>
      </w:r>
      <w:r>
        <w:rPr>
          <w:rFonts w:ascii="Times New Roman" w:hAnsi="Times New Roman" w:cs="Times New Roman"/>
        </w:rPr>
        <w:t xml:space="preserve">he RPO </w:t>
      </w:r>
      <w:r w:rsidR="00597EF4">
        <w:rPr>
          <w:rFonts w:ascii="Times New Roman" w:hAnsi="Times New Roman" w:cs="Times New Roman"/>
        </w:rPr>
        <w:t xml:space="preserve">still considered </w:t>
      </w:r>
      <w:r>
        <w:rPr>
          <w:rFonts w:ascii="Times New Roman" w:hAnsi="Times New Roman" w:cs="Times New Roman"/>
        </w:rPr>
        <w:t xml:space="preserve">the danger </w:t>
      </w:r>
      <w:r w:rsidR="00597EF4">
        <w:rPr>
          <w:rFonts w:ascii="Times New Roman" w:hAnsi="Times New Roman" w:cs="Times New Roman"/>
        </w:rPr>
        <w:t xml:space="preserve">he faced </w:t>
      </w:r>
      <w:r>
        <w:rPr>
          <w:rFonts w:ascii="Times New Roman" w:hAnsi="Times New Roman" w:cs="Times New Roman"/>
        </w:rPr>
        <w:t>was minimal</w:t>
      </w:r>
      <w:r w:rsidR="00597EF4">
        <w:rPr>
          <w:rFonts w:ascii="Times New Roman" w:hAnsi="Times New Roman" w:cs="Times New Roman"/>
        </w:rPr>
        <w:t xml:space="preserve"> </w:t>
      </w:r>
      <w:r>
        <w:rPr>
          <w:rFonts w:ascii="Times New Roman" w:hAnsi="Times New Roman" w:cs="Times New Roman"/>
        </w:rPr>
        <w:t>declin</w:t>
      </w:r>
      <w:r w:rsidR="00205A85">
        <w:rPr>
          <w:rFonts w:ascii="Times New Roman" w:hAnsi="Times New Roman" w:cs="Times New Roman"/>
        </w:rPr>
        <w:t>ing</w:t>
      </w:r>
      <w:r w:rsidR="00597EF4">
        <w:rPr>
          <w:rFonts w:ascii="Times New Roman" w:hAnsi="Times New Roman" w:cs="Times New Roman"/>
        </w:rPr>
        <w:t xml:space="preserve"> </w:t>
      </w:r>
      <w:r>
        <w:rPr>
          <w:rFonts w:ascii="Times New Roman" w:hAnsi="Times New Roman" w:cs="Times New Roman"/>
        </w:rPr>
        <w:t xml:space="preserve">his claim </w:t>
      </w:r>
      <w:r w:rsidR="00205A85">
        <w:rPr>
          <w:rFonts w:ascii="Times New Roman" w:hAnsi="Times New Roman" w:cs="Times New Roman"/>
        </w:rPr>
        <w:t xml:space="preserve">and </w:t>
      </w:r>
      <w:r>
        <w:rPr>
          <w:rFonts w:ascii="Times New Roman" w:hAnsi="Times New Roman" w:cs="Times New Roman"/>
        </w:rPr>
        <w:t xml:space="preserve">declaring it abusive. In reviewing the decision Woodhouse J found that it was open to the RPO to decide as he had and his decision was not unreasonable. He also refused to allow WK to adduce further evidence. </w:t>
      </w:r>
    </w:p>
    <w:p w:rsidR="000C7282" w:rsidRDefault="0037497A" w:rsidP="000C7282">
      <w:pPr>
        <w:spacing w:line="240" w:lineRule="auto"/>
        <w:jc w:val="both"/>
        <w:rPr>
          <w:rFonts w:ascii="Times New Roman" w:hAnsi="Times New Roman" w:cs="Times New Roman"/>
        </w:rPr>
      </w:pPr>
      <w:r>
        <w:rPr>
          <w:rFonts w:ascii="Times New Roman" w:hAnsi="Times New Roman" w:cs="Times New Roman"/>
        </w:rPr>
        <w:t xml:space="preserve">WK appealed to the Court of Appeal </w:t>
      </w:r>
      <w:r w:rsidR="000C7282">
        <w:rPr>
          <w:rFonts w:ascii="Times New Roman" w:hAnsi="Times New Roman" w:cs="Times New Roman"/>
        </w:rPr>
        <w:t>claim</w:t>
      </w:r>
      <w:r>
        <w:rPr>
          <w:rFonts w:ascii="Times New Roman" w:hAnsi="Times New Roman" w:cs="Times New Roman"/>
        </w:rPr>
        <w:t>ing</w:t>
      </w:r>
      <w:r w:rsidR="000C7282">
        <w:rPr>
          <w:rFonts w:ascii="Times New Roman" w:hAnsi="Times New Roman" w:cs="Times New Roman"/>
        </w:rPr>
        <w:t xml:space="preserve"> that:</w:t>
      </w:r>
    </w:p>
    <w:p w:rsidR="000C7282" w:rsidRDefault="000C7282" w:rsidP="000C7282">
      <w:pPr>
        <w:spacing w:line="240" w:lineRule="auto"/>
        <w:ind w:left="720" w:hanging="720"/>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The Judge had failed to interpret section 140 of the Immigration Act consistently with New Zealand’s international obligations. In particular, </w:t>
      </w:r>
      <w:r w:rsidR="00597EF4">
        <w:rPr>
          <w:rFonts w:ascii="Times New Roman" w:hAnsi="Times New Roman" w:cs="Times New Roman"/>
        </w:rPr>
        <w:t>he had n</w:t>
      </w:r>
      <w:r>
        <w:rPr>
          <w:rFonts w:ascii="Times New Roman" w:hAnsi="Times New Roman" w:cs="Times New Roman"/>
        </w:rPr>
        <w:t>ot giv</w:t>
      </w:r>
      <w:r w:rsidR="00597EF4">
        <w:rPr>
          <w:rFonts w:ascii="Times New Roman" w:hAnsi="Times New Roman" w:cs="Times New Roman"/>
        </w:rPr>
        <w:t>e</w:t>
      </w:r>
      <w:r>
        <w:rPr>
          <w:rFonts w:ascii="Times New Roman" w:hAnsi="Times New Roman" w:cs="Times New Roman"/>
        </w:rPr>
        <w:t>n enough weight to the level of scrutiny required under Art.33 of the Refugee Convention (the principle of non-</w:t>
      </w:r>
      <w:proofErr w:type="spellStart"/>
      <w:r>
        <w:rPr>
          <w:rFonts w:ascii="Times New Roman" w:hAnsi="Times New Roman" w:cs="Times New Roman"/>
        </w:rPr>
        <w:t>refoulement</w:t>
      </w:r>
      <w:proofErr w:type="spellEnd"/>
      <w:r>
        <w:rPr>
          <w:rFonts w:ascii="Times New Roman" w:hAnsi="Times New Roman" w:cs="Times New Roman"/>
        </w:rPr>
        <w:t>);</w:t>
      </w:r>
    </w:p>
    <w:p w:rsidR="000C7282" w:rsidRDefault="000C7282" w:rsidP="000C7282">
      <w:pPr>
        <w:spacing w:line="240" w:lineRule="auto"/>
        <w:ind w:left="720" w:hanging="720"/>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Had he done so, WKs fourth claim would not have failed given the increase in views of his blog; changes to country information about Turkey that increased the possibility of his persecution; and </w:t>
      </w:r>
      <w:r w:rsidR="007A2FE7">
        <w:rPr>
          <w:rFonts w:ascii="Times New Roman" w:hAnsi="Times New Roman" w:cs="Times New Roman"/>
        </w:rPr>
        <w:t>an</w:t>
      </w:r>
      <w:r>
        <w:rPr>
          <w:rFonts w:ascii="Times New Roman" w:hAnsi="Times New Roman" w:cs="Times New Roman"/>
        </w:rPr>
        <w:t xml:space="preserve"> email from </w:t>
      </w:r>
      <w:r w:rsidR="007A2FE7">
        <w:rPr>
          <w:rFonts w:ascii="Times New Roman" w:hAnsi="Times New Roman" w:cs="Times New Roman"/>
        </w:rPr>
        <w:t>a</w:t>
      </w:r>
      <w:r>
        <w:rPr>
          <w:rFonts w:ascii="Times New Roman" w:hAnsi="Times New Roman" w:cs="Times New Roman"/>
        </w:rPr>
        <w:t xml:space="preserve"> former acquaintance dobbing him in to the police; and </w:t>
      </w:r>
    </w:p>
    <w:p w:rsidR="000C7282" w:rsidRDefault="000C7282" w:rsidP="000C7282">
      <w:pPr>
        <w:spacing w:line="240" w:lineRule="auto"/>
        <w:ind w:lef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High Court had erred </w:t>
      </w:r>
      <w:r w:rsidR="007A2FE7">
        <w:rPr>
          <w:rFonts w:ascii="Times New Roman" w:hAnsi="Times New Roman" w:cs="Times New Roman"/>
        </w:rPr>
        <w:t>by</w:t>
      </w:r>
      <w:r>
        <w:rPr>
          <w:rFonts w:ascii="Times New Roman" w:hAnsi="Times New Roman" w:cs="Times New Roman"/>
        </w:rPr>
        <w:t xml:space="preserve"> refusing to allow him to present further information to the Court. </w:t>
      </w:r>
    </w:p>
    <w:p w:rsidR="000C7282" w:rsidRDefault="000C7282" w:rsidP="000C7282">
      <w:pPr>
        <w:spacing w:line="240" w:lineRule="auto"/>
        <w:jc w:val="both"/>
        <w:rPr>
          <w:rFonts w:ascii="Times New Roman" w:hAnsi="Times New Roman" w:cs="Times New Roman"/>
        </w:rPr>
      </w:pPr>
      <w:r>
        <w:rPr>
          <w:rFonts w:ascii="Times New Roman" w:hAnsi="Times New Roman" w:cs="Times New Roman"/>
        </w:rPr>
        <w:t xml:space="preserve">The Court of Appeal did not consider that the </w:t>
      </w:r>
      <w:r w:rsidR="00205A85">
        <w:rPr>
          <w:rFonts w:ascii="Times New Roman" w:hAnsi="Times New Roman" w:cs="Times New Roman"/>
        </w:rPr>
        <w:t xml:space="preserve">Woodhouse </w:t>
      </w:r>
      <w:r>
        <w:rPr>
          <w:rFonts w:ascii="Times New Roman" w:hAnsi="Times New Roman" w:cs="Times New Roman"/>
        </w:rPr>
        <w:t>Je had been wrong in how he dealt with the implications of Art.33. While New Zealand’s international obligations may well be relevant to the exercise of a domestic statutory power, s.140 had been drafted to ensure New Zealand met its obligations under the Convention</w:t>
      </w:r>
      <w:r w:rsidR="007A2FE7">
        <w:rPr>
          <w:rFonts w:ascii="Times New Roman" w:hAnsi="Times New Roman" w:cs="Times New Roman"/>
        </w:rPr>
        <w:t xml:space="preserve"> and</w:t>
      </w:r>
      <w:r>
        <w:rPr>
          <w:rFonts w:ascii="Times New Roman" w:hAnsi="Times New Roman" w:cs="Times New Roman"/>
        </w:rPr>
        <w:t xml:space="preserve"> was the means by which a proper balance could be achieved between the risk of </w:t>
      </w:r>
      <w:proofErr w:type="spellStart"/>
      <w:r>
        <w:rPr>
          <w:rFonts w:ascii="Times New Roman" w:hAnsi="Times New Roman" w:cs="Times New Roman"/>
        </w:rPr>
        <w:t>refoulement</w:t>
      </w:r>
      <w:proofErr w:type="spellEnd"/>
      <w:r>
        <w:rPr>
          <w:rFonts w:ascii="Times New Roman" w:hAnsi="Times New Roman" w:cs="Times New Roman"/>
        </w:rPr>
        <w:t xml:space="preserve"> and abuse of the system: at [44]. Central to this was allowing subsequent claims where there ha</w:t>
      </w:r>
      <w:r w:rsidR="00205A85">
        <w:rPr>
          <w:rFonts w:ascii="Times New Roman" w:hAnsi="Times New Roman" w:cs="Times New Roman"/>
        </w:rPr>
        <w:t>d</w:t>
      </w:r>
      <w:r>
        <w:rPr>
          <w:rFonts w:ascii="Times New Roman" w:hAnsi="Times New Roman" w:cs="Times New Roman"/>
        </w:rPr>
        <w:t xml:space="preserve"> been a significant change in the applicant’s circumstances.</w:t>
      </w:r>
    </w:p>
    <w:p w:rsidR="000C7282" w:rsidRDefault="000C7282" w:rsidP="000C7282">
      <w:pPr>
        <w:spacing w:line="240" w:lineRule="auto"/>
        <w:jc w:val="both"/>
        <w:rPr>
          <w:rFonts w:ascii="Times New Roman" w:hAnsi="Times New Roman" w:cs="Times New Roman"/>
        </w:rPr>
      </w:pPr>
      <w:r>
        <w:rPr>
          <w:rFonts w:ascii="Times New Roman" w:hAnsi="Times New Roman" w:cs="Times New Roman"/>
        </w:rPr>
        <w:t xml:space="preserve">The Court did not consider that WK’s fourth claim established a greater risk than previously </w:t>
      </w:r>
      <w:r w:rsidR="00205A85">
        <w:rPr>
          <w:rFonts w:ascii="Times New Roman" w:hAnsi="Times New Roman" w:cs="Times New Roman"/>
        </w:rPr>
        <w:t xml:space="preserve">because </w:t>
      </w:r>
      <w:r>
        <w:rPr>
          <w:rFonts w:ascii="Times New Roman" w:hAnsi="Times New Roman" w:cs="Times New Roman"/>
        </w:rPr>
        <w:t>of the increase in the number of third party views of WK’s blog. The RPO was entitled to conclude that the number was insignificant and did not realistically alter his risk of being arrested. In relation to the email sent to the police, the Court noted that the Tribunal had taken this into account in WK’s third claim and recent convictions for insulting the Turkish President had only attracted suspended sentences. They did not consider this amounted to serious harm. While t</w:t>
      </w:r>
      <w:r w:rsidR="00205A85">
        <w:rPr>
          <w:rFonts w:ascii="Times New Roman" w:hAnsi="Times New Roman" w:cs="Times New Roman"/>
        </w:rPr>
        <w:t xml:space="preserve">here was </w:t>
      </w:r>
      <w:r>
        <w:rPr>
          <w:rFonts w:ascii="Times New Roman" w:hAnsi="Times New Roman" w:cs="Times New Roman"/>
        </w:rPr>
        <w:t>impli</w:t>
      </w:r>
      <w:r w:rsidR="00205A85">
        <w:rPr>
          <w:rFonts w:ascii="Times New Roman" w:hAnsi="Times New Roman" w:cs="Times New Roman"/>
        </w:rPr>
        <w:t>cit</w:t>
      </w:r>
      <w:r>
        <w:rPr>
          <w:rFonts w:ascii="Times New Roman" w:hAnsi="Times New Roman" w:cs="Times New Roman"/>
        </w:rPr>
        <w:t xml:space="preserve"> criticism of the weight afforded by the RPO to the information, the </w:t>
      </w:r>
      <w:r w:rsidR="007A2FE7">
        <w:rPr>
          <w:rFonts w:ascii="Times New Roman" w:hAnsi="Times New Roman" w:cs="Times New Roman"/>
        </w:rPr>
        <w:t>C</w:t>
      </w:r>
      <w:r>
        <w:rPr>
          <w:rFonts w:ascii="Times New Roman" w:hAnsi="Times New Roman" w:cs="Times New Roman"/>
        </w:rPr>
        <w:t xml:space="preserve">ourt did not consider the RPO’s weighing of the material was unreasonable in the </w:t>
      </w:r>
      <w:proofErr w:type="spellStart"/>
      <w:r w:rsidRPr="001F1008">
        <w:rPr>
          <w:rFonts w:ascii="Times New Roman" w:hAnsi="Times New Roman" w:cs="Times New Roman"/>
          <w:i/>
        </w:rPr>
        <w:t>Wednesbury</w:t>
      </w:r>
      <w:proofErr w:type="spellEnd"/>
      <w:r w:rsidRPr="001F1008">
        <w:rPr>
          <w:rFonts w:ascii="Times New Roman" w:hAnsi="Times New Roman" w:cs="Times New Roman"/>
          <w:i/>
        </w:rPr>
        <w:t xml:space="preserve"> </w:t>
      </w:r>
      <w:r>
        <w:rPr>
          <w:rFonts w:ascii="Times New Roman" w:hAnsi="Times New Roman" w:cs="Times New Roman"/>
        </w:rPr>
        <w:t>administrative law sense. The RPO was entitled to rely on the Tribunal’s third decision that the</w:t>
      </w:r>
      <w:r w:rsidR="007A2FE7">
        <w:rPr>
          <w:rFonts w:ascii="Times New Roman" w:hAnsi="Times New Roman" w:cs="Times New Roman"/>
        </w:rPr>
        <w:t xml:space="preserve">re was not an increased </w:t>
      </w:r>
      <w:r>
        <w:rPr>
          <w:rFonts w:ascii="Times New Roman" w:hAnsi="Times New Roman" w:cs="Times New Roman"/>
        </w:rPr>
        <w:t>risk of WK being investigated but</w:t>
      </w:r>
      <w:r w:rsidR="00205A85">
        <w:rPr>
          <w:rFonts w:ascii="Times New Roman" w:hAnsi="Times New Roman" w:cs="Times New Roman"/>
        </w:rPr>
        <w:t>,</w:t>
      </w:r>
      <w:r>
        <w:rPr>
          <w:rFonts w:ascii="Times New Roman" w:hAnsi="Times New Roman" w:cs="Times New Roman"/>
        </w:rPr>
        <w:t xml:space="preserve"> even if it did happen, the potential consequences would </w:t>
      </w:r>
      <w:r w:rsidR="007A2FE7">
        <w:rPr>
          <w:rFonts w:ascii="Times New Roman" w:hAnsi="Times New Roman" w:cs="Times New Roman"/>
        </w:rPr>
        <w:t xml:space="preserve">not </w:t>
      </w:r>
      <w:r>
        <w:rPr>
          <w:rFonts w:ascii="Times New Roman" w:hAnsi="Times New Roman" w:cs="Times New Roman"/>
        </w:rPr>
        <w:t xml:space="preserve">amount to serious harm. As to whether the fourth claim was “clearly abusive”, Woodhouse J concluded that this could include a claim </w:t>
      </w:r>
      <w:r w:rsidR="007A2FE7">
        <w:rPr>
          <w:rFonts w:ascii="Times New Roman" w:hAnsi="Times New Roman" w:cs="Times New Roman"/>
        </w:rPr>
        <w:t xml:space="preserve">being </w:t>
      </w:r>
      <w:r>
        <w:rPr>
          <w:rFonts w:ascii="Times New Roman" w:hAnsi="Times New Roman" w:cs="Times New Roman"/>
        </w:rPr>
        <w:t xml:space="preserve">lodged to prolong the appeal of deportation process. WK argued that this </w:t>
      </w:r>
      <w:r w:rsidR="00CB432F">
        <w:rPr>
          <w:rFonts w:ascii="Times New Roman" w:hAnsi="Times New Roman" w:cs="Times New Roman"/>
        </w:rPr>
        <w:t>was not correct</w:t>
      </w:r>
      <w:r>
        <w:rPr>
          <w:rFonts w:ascii="Times New Roman" w:hAnsi="Times New Roman" w:cs="Times New Roman"/>
        </w:rPr>
        <w:t xml:space="preserve">. </w:t>
      </w:r>
      <w:r w:rsidR="00CB432F">
        <w:rPr>
          <w:rFonts w:ascii="Times New Roman" w:hAnsi="Times New Roman" w:cs="Times New Roman"/>
        </w:rPr>
        <w:t>I</w:t>
      </w:r>
      <w:r>
        <w:rPr>
          <w:rFonts w:ascii="Times New Roman" w:hAnsi="Times New Roman" w:cs="Times New Roman"/>
        </w:rPr>
        <w:t xml:space="preserve">f there was a chance of </w:t>
      </w:r>
      <w:proofErr w:type="spellStart"/>
      <w:r>
        <w:rPr>
          <w:rFonts w:ascii="Times New Roman" w:hAnsi="Times New Roman" w:cs="Times New Roman"/>
        </w:rPr>
        <w:t>refoulement</w:t>
      </w:r>
      <w:proofErr w:type="spellEnd"/>
      <w:r>
        <w:rPr>
          <w:rFonts w:ascii="Times New Roman" w:hAnsi="Times New Roman" w:cs="Times New Roman"/>
        </w:rPr>
        <w:t xml:space="preserve"> then the presence of other motives </w:t>
      </w:r>
      <w:r w:rsidR="00CB432F">
        <w:rPr>
          <w:rFonts w:ascii="Times New Roman" w:hAnsi="Times New Roman" w:cs="Times New Roman"/>
        </w:rPr>
        <w:t>such as avoiding deportation di</w:t>
      </w:r>
      <w:r>
        <w:rPr>
          <w:rFonts w:ascii="Times New Roman" w:hAnsi="Times New Roman" w:cs="Times New Roman"/>
        </w:rPr>
        <w:t xml:space="preserve">d not render the claim “clearly abusive”. The Court, however, held that the RPO was permitted to draw an adverse finding because of the timing of the claim (2 days after WK became liable for deportation), the history of his previous claims and the unmeritorious matter of his subsequent claim: at [61]. </w:t>
      </w:r>
    </w:p>
    <w:p w:rsidR="000C7282" w:rsidRDefault="000C7282" w:rsidP="000C7282">
      <w:pPr>
        <w:spacing w:line="240" w:lineRule="auto"/>
        <w:jc w:val="both"/>
        <w:rPr>
          <w:rFonts w:ascii="Times New Roman" w:hAnsi="Times New Roman" w:cs="Times New Roman"/>
        </w:rPr>
      </w:pPr>
      <w:r>
        <w:rPr>
          <w:rFonts w:ascii="Times New Roman" w:hAnsi="Times New Roman" w:cs="Times New Roman"/>
        </w:rPr>
        <w:t>As for refus</w:t>
      </w:r>
      <w:r w:rsidR="00CB432F">
        <w:rPr>
          <w:rFonts w:ascii="Times New Roman" w:hAnsi="Times New Roman" w:cs="Times New Roman"/>
        </w:rPr>
        <w:t>ing</w:t>
      </w:r>
      <w:r>
        <w:rPr>
          <w:rFonts w:ascii="Times New Roman" w:hAnsi="Times New Roman" w:cs="Times New Roman"/>
        </w:rPr>
        <w:t xml:space="preserve"> to allow further evidence, Woodhouse </w:t>
      </w:r>
      <w:r w:rsidR="00CB432F">
        <w:rPr>
          <w:rFonts w:ascii="Times New Roman" w:hAnsi="Times New Roman" w:cs="Times New Roman"/>
        </w:rPr>
        <w:t xml:space="preserve">J </w:t>
      </w:r>
      <w:r>
        <w:rPr>
          <w:rFonts w:ascii="Times New Roman" w:hAnsi="Times New Roman" w:cs="Times New Roman"/>
        </w:rPr>
        <w:t>had pointed out that as the object of the judicial review was to decide whether the RPO had erred, it could not be wrong for a decision maker fail</w:t>
      </w:r>
      <w:r w:rsidR="0037497A">
        <w:rPr>
          <w:rFonts w:ascii="Times New Roman" w:hAnsi="Times New Roman" w:cs="Times New Roman"/>
        </w:rPr>
        <w:t>ing</w:t>
      </w:r>
      <w:r>
        <w:rPr>
          <w:rFonts w:ascii="Times New Roman" w:hAnsi="Times New Roman" w:cs="Times New Roman"/>
        </w:rPr>
        <w:t xml:space="preserve"> to take into account evidence that had not been before it. While WK’s lawyer agreed with this in principle, he submitted that a different approach was required where an individual’s human rights and New Zealand’s international obligations were at stake. The Court of Appeal disagreed. Orthodox principles applied to an application for judicial review and this was not altered in the refugee context. The High Court’s function is to correct jurisdictional, procedural and other errors of law. While mindful of the refugee context and the importance of high standards of fairness, the same rules apply: at [65]. Citing </w:t>
      </w:r>
      <w:r w:rsidRPr="00112A94">
        <w:rPr>
          <w:rFonts w:ascii="Times New Roman" w:hAnsi="Times New Roman" w:cs="Times New Roman"/>
          <w:i/>
        </w:rPr>
        <w:t>D v Immigration and Protection Tribunal</w:t>
      </w:r>
      <w:r>
        <w:rPr>
          <w:rStyle w:val="FootnoteReference"/>
          <w:rFonts w:ascii="Times New Roman" w:hAnsi="Times New Roman" w:cs="Times New Roman"/>
        </w:rPr>
        <w:footnoteReference w:id="16"/>
      </w:r>
      <w:r>
        <w:rPr>
          <w:rFonts w:ascii="Times New Roman" w:hAnsi="Times New Roman" w:cs="Times New Roman"/>
        </w:rPr>
        <w:t xml:space="preserve"> the Court noted that “judicial review should not be seen as a further opportunity to present or supplement evidence.” But in any </w:t>
      </w:r>
      <w:r w:rsidR="0037497A">
        <w:rPr>
          <w:rFonts w:ascii="Times New Roman" w:hAnsi="Times New Roman" w:cs="Times New Roman"/>
        </w:rPr>
        <w:t>cas</w:t>
      </w:r>
      <w:r>
        <w:rPr>
          <w:rFonts w:ascii="Times New Roman" w:hAnsi="Times New Roman" w:cs="Times New Roman"/>
        </w:rPr>
        <w:t>e the generic country evidence that was to be admitted added nothing to the appellant’s case, the Court noting that “Any change of circumstances that may be taken fr</w:t>
      </w:r>
      <w:r w:rsidR="0037497A">
        <w:rPr>
          <w:rFonts w:ascii="Times New Roman" w:hAnsi="Times New Roman" w:cs="Times New Roman"/>
        </w:rPr>
        <w:t>o</w:t>
      </w:r>
      <w:r>
        <w:rPr>
          <w:rFonts w:ascii="Times New Roman" w:hAnsi="Times New Roman" w:cs="Times New Roman"/>
        </w:rPr>
        <w:t xml:space="preserve">m this information impacts on journalists and other persons seeking to factually report events and engage in constructive political discourse, rather than those who are primarily involved in expressing derogatory speech using social media”: at [75].             </w:t>
      </w:r>
    </w:p>
    <w:p w:rsidR="00180B19" w:rsidRPr="00180B19" w:rsidRDefault="006D53A1" w:rsidP="00FE294D">
      <w:pPr>
        <w:spacing w:line="240" w:lineRule="auto"/>
        <w:jc w:val="both"/>
        <w:rPr>
          <w:rFonts w:ascii="Times New Roman" w:hAnsi="Times New Roman" w:cs="Times New Roman"/>
          <w:color w:val="00B0F0"/>
        </w:rPr>
      </w:pPr>
      <w:r w:rsidRPr="00180B19">
        <w:rPr>
          <w:rFonts w:ascii="Times New Roman" w:hAnsi="Times New Roman" w:cs="Times New Roman"/>
          <w:color w:val="00B0F0"/>
        </w:rPr>
        <w:t>Singh v Chief Executive Ministry of Business Innovation and Employment [2018] NZHC 673</w:t>
      </w:r>
      <w:r w:rsidR="0004502C" w:rsidRPr="00180B19">
        <w:rPr>
          <w:rFonts w:ascii="Times New Roman" w:hAnsi="Times New Roman" w:cs="Times New Roman"/>
          <w:color w:val="00B0F0"/>
        </w:rPr>
        <w:t xml:space="preserve"> </w:t>
      </w:r>
    </w:p>
    <w:p w:rsidR="006D53A1" w:rsidRPr="006D53A1" w:rsidRDefault="006D53A1" w:rsidP="00FE294D">
      <w:pPr>
        <w:spacing w:line="240" w:lineRule="auto"/>
        <w:jc w:val="both"/>
        <w:rPr>
          <w:rFonts w:ascii="Times New Roman" w:hAnsi="Times New Roman" w:cs="Times New Roman"/>
          <w:i/>
        </w:rPr>
      </w:pPr>
      <w:r w:rsidRPr="006D53A1">
        <w:rPr>
          <w:rFonts w:ascii="Times New Roman" w:hAnsi="Times New Roman" w:cs="Times New Roman"/>
          <w:i/>
        </w:rPr>
        <w:t xml:space="preserve">Right to judicial review </w:t>
      </w:r>
    </w:p>
    <w:p w:rsidR="006D53A1" w:rsidRPr="006D53A1" w:rsidRDefault="006D53A1" w:rsidP="00FE294D">
      <w:pPr>
        <w:spacing w:line="240" w:lineRule="auto"/>
        <w:jc w:val="both"/>
        <w:rPr>
          <w:rFonts w:ascii="Times New Roman" w:hAnsi="Times New Roman" w:cs="Times New Roman"/>
        </w:rPr>
      </w:pPr>
      <w:r w:rsidRPr="006D53A1">
        <w:rPr>
          <w:rFonts w:ascii="Times New Roman" w:hAnsi="Times New Roman" w:cs="Times New Roman"/>
        </w:rPr>
        <w:t xml:space="preserve">On 1 November 2017 Immigration New Zealand issued </w:t>
      </w:r>
      <w:proofErr w:type="spellStart"/>
      <w:r w:rsidRPr="006D53A1">
        <w:rPr>
          <w:rFonts w:ascii="Times New Roman" w:hAnsi="Times New Roman" w:cs="Times New Roman"/>
        </w:rPr>
        <w:t>Pavneet</w:t>
      </w:r>
      <w:proofErr w:type="spellEnd"/>
      <w:r w:rsidRPr="006D53A1">
        <w:rPr>
          <w:rFonts w:ascii="Times New Roman" w:hAnsi="Times New Roman" w:cs="Times New Roman"/>
        </w:rPr>
        <w:t xml:space="preserve"> Singh </w:t>
      </w:r>
      <w:r>
        <w:rPr>
          <w:rFonts w:ascii="Times New Roman" w:hAnsi="Times New Roman" w:cs="Times New Roman"/>
        </w:rPr>
        <w:t xml:space="preserve">with </w:t>
      </w:r>
      <w:r w:rsidRPr="006D53A1">
        <w:rPr>
          <w:rFonts w:ascii="Times New Roman" w:hAnsi="Times New Roman" w:cs="Times New Roman"/>
        </w:rPr>
        <w:t>a Deportation Order. Mr Singh</w:t>
      </w:r>
      <w:r w:rsidR="0084145A">
        <w:rPr>
          <w:rFonts w:ascii="Times New Roman" w:hAnsi="Times New Roman" w:cs="Times New Roman"/>
        </w:rPr>
        <w:t xml:space="preserve"> </w:t>
      </w:r>
      <w:r w:rsidR="0037497A">
        <w:rPr>
          <w:rFonts w:ascii="Times New Roman" w:hAnsi="Times New Roman" w:cs="Times New Roman"/>
        </w:rPr>
        <w:t>sought</w:t>
      </w:r>
      <w:r w:rsidR="0084145A">
        <w:rPr>
          <w:rFonts w:ascii="Times New Roman" w:hAnsi="Times New Roman" w:cs="Times New Roman"/>
        </w:rPr>
        <w:t xml:space="preserve"> </w:t>
      </w:r>
      <w:r w:rsidRPr="006D53A1">
        <w:rPr>
          <w:rFonts w:ascii="Times New Roman" w:hAnsi="Times New Roman" w:cs="Times New Roman"/>
        </w:rPr>
        <w:t>judicial review</w:t>
      </w:r>
      <w:r w:rsidR="0084145A">
        <w:rPr>
          <w:rFonts w:ascii="Times New Roman" w:hAnsi="Times New Roman" w:cs="Times New Roman"/>
        </w:rPr>
        <w:t xml:space="preserve"> </w:t>
      </w:r>
      <w:r w:rsidRPr="006D53A1">
        <w:rPr>
          <w:rFonts w:ascii="Times New Roman" w:hAnsi="Times New Roman" w:cs="Times New Roman"/>
        </w:rPr>
        <w:t>a</w:t>
      </w:r>
      <w:r w:rsidR="00864885">
        <w:rPr>
          <w:rFonts w:ascii="Times New Roman" w:hAnsi="Times New Roman" w:cs="Times New Roman"/>
        </w:rPr>
        <w:t xml:space="preserve">rguing </w:t>
      </w:r>
      <w:r w:rsidRPr="006D53A1">
        <w:rPr>
          <w:rFonts w:ascii="Times New Roman" w:hAnsi="Times New Roman" w:cs="Times New Roman"/>
        </w:rPr>
        <w:t xml:space="preserve">that he had been </w:t>
      </w:r>
      <w:r w:rsidR="0084145A">
        <w:rPr>
          <w:rFonts w:ascii="Times New Roman" w:hAnsi="Times New Roman" w:cs="Times New Roman"/>
        </w:rPr>
        <w:t>un</w:t>
      </w:r>
      <w:r w:rsidRPr="006D53A1">
        <w:rPr>
          <w:rFonts w:ascii="Times New Roman" w:hAnsi="Times New Roman" w:cs="Times New Roman"/>
        </w:rPr>
        <w:t>able to challenge the decision</w:t>
      </w:r>
      <w:r w:rsidR="0084145A">
        <w:rPr>
          <w:rFonts w:ascii="Times New Roman" w:hAnsi="Times New Roman" w:cs="Times New Roman"/>
        </w:rPr>
        <w:t xml:space="preserve"> as he </w:t>
      </w:r>
      <w:r w:rsidR="0037497A">
        <w:rPr>
          <w:rFonts w:ascii="Times New Roman" w:hAnsi="Times New Roman" w:cs="Times New Roman"/>
        </w:rPr>
        <w:t>was</w:t>
      </w:r>
      <w:r w:rsidRPr="006D53A1">
        <w:rPr>
          <w:rFonts w:ascii="Times New Roman" w:hAnsi="Times New Roman" w:cs="Times New Roman"/>
        </w:rPr>
        <w:t xml:space="preserve"> </w:t>
      </w:r>
      <w:r w:rsidR="0084145A" w:rsidRPr="006D53A1">
        <w:rPr>
          <w:rFonts w:ascii="Times New Roman" w:hAnsi="Times New Roman" w:cs="Times New Roman"/>
        </w:rPr>
        <w:t>undergoing compulsory mental health treatment</w:t>
      </w:r>
      <w:r w:rsidR="0084145A">
        <w:rPr>
          <w:rFonts w:ascii="Times New Roman" w:hAnsi="Times New Roman" w:cs="Times New Roman"/>
        </w:rPr>
        <w:t>. H</w:t>
      </w:r>
      <w:r w:rsidRPr="006D53A1">
        <w:rPr>
          <w:rFonts w:ascii="Times New Roman" w:hAnsi="Times New Roman" w:cs="Times New Roman"/>
        </w:rPr>
        <w:t xml:space="preserve">e applied for an interim stay of </w:t>
      </w:r>
      <w:r w:rsidR="00864885">
        <w:rPr>
          <w:rFonts w:ascii="Times New Roman" w:hAnsi="Times New Roman" w:cs="Times New Roman"/>
        </w:rPr>
        <w:t>the order</w:t>
      </w:r>
      <w:r w:rsidR="00ED5996">
        <w:rPr>
          <w:rFonts w:ascii="Times New Roman" w:hAnsi="Times New Roman" w:cs="Times New Roman"/>
        </w:rPr>
        <w:t>,</w:t>
      </w:r>
      <w:r w:rsidR="00864885">
        <w:rPr>
          <w:rFonts w:ascii="Times New Roman" w:hAnsi="Times New Roman" w:cs="Times New Roman"/>
        </w:rPr>
        <w:t xml:space="preserve"> </w:t>
      </w:r>
      <w:r w:rsidRPr="006D53A1">
        <w:rPr>
          <w:rFonts w:ascii="Times New Roman" w:hAnsi="Times New Roman" w:cs="Times New Roman"/>
        </w:rPr>
        <w:t>pending judicial review</w:t>
      </w:r>
      <w:r w:rsidR="00EF1242">
        <w:rPr>
          <w:rFonts w:ascii="Times New Roman" w:hAnsi="Times New Roman" w:cs="Times New Roman"/>
        </w:rPr>
        <w:t xml:space="preserve"> of his application</w:t>
      </w:r>
      <w:r w:rsidRPr="006D53A1">
        <w:rPr>
          <w:rFonts w:ascii="Times New Roman" w:hAnsi="Times New Roman" w:cs="Times New Roman"/>
        </w:rPr>
        <w:t>.</w:t>
      </w:r>
    </w:p>
    <w:p w:rsidR="002927B3" w:rsidRDefault="0084145A" w:rsidP="00FE294D">
      <w:pPr>
        <w:spacing w:line="240" w:lineRule="auto"/>
        <w:jc w:val="both"/>
        <w:rPr>
          <w:rFonts w:ascii="Times New Roman" w:hAnsi="Times New Roman" w:cs="Times New Roman"/>
        </w:rPr>
      </w:pPr>
      <w:r>
        <w:rPr>
          <w:rFonts w:ascii="Times New Roman" w:hAnsi="Times New Roman" w:cs="Times New Roman"/>
        </w:rPr>
        <w:t xml:space="preserve">The case was plagued by procedural difficulties. </w:t>
      </w:r>
      <w:r w:rsidR="006D53A1" w:rsidRPr="006D53A1">
        <w:rPr>
          <w:rFonts w:ascii="Times New Roman" w:hAnsi="Times New Roman" w:cs="Times New Roman"/>
        </w:rPr>
        <w:t>On 16</w:t>
      </w:r>
      <w:r w:rsidR="006D53A1" w:rsidRPr="006D53A1">
        <w:rPr>
          <w:rFonts w:ascii="Times New Roman" w:hAnsi="Times New Roman" w:cs="Times New Roman"/>
          <w:vertAlign w:val="superscript"/>
        </w:rPr>
        <w:t>th</w:t>
      </w:r>
      <w:r w:rsidR="006D53A1" w:rsidRPr="006D53A1">
        <w:rPr>
          <w:rFonts w:ascii="Times New Roman" w:hAnsi="Times New Roman" w:cs="Times New Roman"/>
        </w:rPr>
        <w:t xml:space="preserve"> February and 21</w:t>
      </w:r>
      <w:r w:rsidR="006D53A1" w:rsidRPr="006D53A1">
        <w:rPr>
          <w:rFonts w:ascii="Times New Roman" w:hAnsi="Times New Roman" w:cs="Times New Roman"/>
          <w:vertAlign w:val="superscript"/>
        </w:rPr>
        <w:t>st</w:t>
      </w:r>
      <w:r w:rsidR="006D53A1" w:rsidRPr="006D53A1">
        <w:rPr>
          <w:rFonts w:ascii="Times New Roman" w:hAnsi="Times New Roman" w:cs="Times New Roman"/>
        </w:rPr>
        <w:t xml:space="preserve"> March 2018 </w:t>
      </w:r>
      <w:r>
        <w:rPr>
          <w:rFonts w:ascii="Times New Roman" w:hAnsi="Times New Roman" w:cs="Times New Roman"/>
        </w:rPr>
        <w:t>both parties</w:t>
      </w:r>
      <w:r w:rsidR="006D53A1" w:rsidRPr="006D53A1">
        <w:rPr>
          <w:rFonts w:ascii="Times New Roman" w:hAnsi="Times New Roman" w:cs="Times New Roman"/>
        </w:rPr>
        <w:t xml:space="preserve"> sought</w:t>
      </w:r>
      <w:r w:rsidR="003A3064">
        <w:rPr>
          <w:rFonts w:ascii="Times New Roman" w:hAnsi="Times New Roman" w:cs="Times New Roman"/>
        </w:rPr>
        <w:t>,</w:t>
      </w:r>
      <w:r w:rsidR="006D53A1" w:rsidRPr="006D53A1">
        <w:rPr>
          <w:rFonts w:ascii="Times New Roman" w:hAnsi="Times New Roman" w:cs="Times New Roman"/>
        </w:rPr>
        <w:t xml:space="preserve"> and were granted</w:t>
      </w:r>
      <w:r w:rsidR="003A3064">
        <w:rPr>
          <w:rFonts w:ascii="Times New Roman" w:hAnsi="Times New Roman" w:cs="Times New Roman"/>
        </w:rPr>
        <w:t>,</w:t>
      </w:r>
      <w:r w:rsidR="006D53A1" w:rsidRPr="006D53A1">
        <w:rPr>
          <w:rFonts w:ascii="Times New Roman" w:hAnsi="Times New Roman" w:cs="Times New Roman"/>
        </w:rPr>
        <w:t xml:space="preserve"> adjournments</w:t>
      </w:r>
      <w:r>
        <w:rPr>
          <w:rFonts w:ascii="Times New Roman" w:hAnsi="Times New Roman" w:cs="Times New Roman"/>
        </w:rPr>
        <w:t>,</w:t>
      </w:r>
      <w:r w:rsidR="006D53A1" w:rsidRPr="006D53A1">
        <w:rPr>
          <w:rFonts w:ascii="Times New Roman" w:hAnsi="Times New Roman" w:cs="Times New Roman"/>
        </w:rPr>
        <w:t xml:space="preserve"> the Crown g</w:t>
      </w:r>
      <w:r>
        <w:rPr>
          <w:rFonts w:ascii="Times New Roman" w:hAnsi="Times New Roman" w:cs="Times New Roman"/>
        </w:rPr>
        <w:t>iving</w:t>
      </w:r>
      <w:r w:rsidR="006D53A1" w:rsidRPr="006D53A1">
        <w:rPr>
          <w:rFonts w:ascii="Times New Roman" w:hAnsi="Times New Roman" w:cs="Times New Roman"/>
        </w:rPr>
        <w:t xml:space="preserve"> </w:t>
      </w:r>
      <w:r>
        <w:rPr>
          <w:rFonts w:ascii="Times New Roman" w:hAnsi="Times New Roman" w:cs="Times New Roman"/>
        </w:rPr>
        <w:t xml:space="preserve">an </w:t>
      </w:r>
      <w:r w:rsidR="006D53A1" w:rsidRPr="006D53A1">
        <w:rPr>
          <w:rFonts w:ascii="Times New Roman" w:hAnsi="Times New Roman" w:cs="Times New Roman"/>
        </w:rPr>
        <w:t xml:space="preserve">assurance that </w:t>
      </w:r>
      <w:r w:rsidRPr="006D53A1">
        <w:rPr>
          <w:rFonts w:ascii="Times New Roman" w:hAnsi="Times New Roman" w:cs="Times New Roman"/>
        </w:rPr>
        <w:t xml:space="preserve">Mr Singh </w:t>
      </w:r>
      <w:r w:rsidR="006D53A1" w:rsidRPr="006D53A1">
        <w:rPr>
          <w:rFonts w:ascii="Times New Roman" w:hAnsi="Times New Roman" w:cs="Times New Roman"/>
        </w:rPr>
        <w:t xml:space="preserve">would </w:t>
      </w:r>
      <w:r>
        <w:rPr>
          <w:rFonts w:ascii="Times New Roman" w:hAnsi="Times New Roman" w:cs="Times New Roman"/>
        </w:rPr>
        <w:t xml:space="preserve">not </w:t>
      </w:r>
      <w:r w:rsidR="006D53A1" w:rsidRPr="006D53A1">
        <w:rPr>
          <w:rFonts w:ascii="Times New Roman" w:hAnsi="Times New Roman" w:cs="Times New Roman"/>
        </w:rPr>
        <w:t>be deport</w:t>
      </w:r>
      <w:r>
        <w:rPr>
          <w:rFonts w:ascii="Times New Roman" w:hAnsi="Times New Roman" w:cs="Times New Roman"/>
        </w:rPr>
        <w:t>ed</w:t>
      </w:r>
      <w:r w:rsidR="006D53A1" w:rsidRPr="006D53A1">
        <w:rPr>
          <w:rFonts w:ascii="Times New Roman" w:hAnsi="Times New Roman" w:cs="Times New Roman"/>
        </w:rPr>
        <w:t xml:space="preserve"> until the outcome of </w:t>
      </w:r>
      <w:r>
        <w:rPr>
          <w:rFonts w:ascii="Times New Roman" w:hAnsi="Times New Roman" w:cs="Times New Roman"/>
        </w:rPr>
        <w:t xml:space="preserve">the </w:t>
      </w:r>
      <w:r w:rsidR="006D53A1" w:rsidRPr="006D53A1">
        <w:rPr>
          <w:rFonts w:ascii="Times New Roman" w:hAnsi="Times New Roman" w:cs="Times New Roman"/>
        </w:rPr>
        <w:t>review proceedings</w:t>
      </w:r>
      <w:r>
        <w:rPr>
          <w:rFonts w:ascii="Times New Roman" w:hAnsi="Times New Roman" w:cs="Times New Roman"/>
        </w:rPr>
        <w:t xml:space="preserve"> was known</w:t>
      </w:r>
      <w:r w:rsidR="006D53A1" w:rsidRPr="006D53A1">
        <w:rPr>
          <w:rFonts w:ascii="Times New Roman" w:hAnsi="Times New Roman" w:cs="Times New Roman"/>
        </w:rPr>
        <w:t xml:space="preserve">. Later </w:t>
      </w:r>
      <w:r w:rsidR="000140C8">
        <w:rPr>
          <w:rFonts w:ascii="Times New Roman" w:hAnsi="Times New Roman" w:cs="Times New Roman"/>
        </w:rPr>
        <w:t>that day</w:t>
      </w:r>
      <w:r w:rsidR="006D53A1" w:rsidRPr="006D53A1">
        <w:rPr>
          <w:rFonts w:ascii="Times New Roman" w:hAnsi="Times New Roman" w:cs="Times New Roman"/>
        </w:rPr>
        <w:t xml:space="preserve">, </w:t>
      </w:r>
      <w:r>
        <w:rPr>
          <w:rFonts w:ascii="Times New Roman" w:hAnsi="Times New Roman" w:cs="Times New Roman"/>
        </w:rPr>
        <w:t xml:space="preserve">the </w:t>
      </w:r>
      <w:r w:rsidR="006D53A1" w:rsidRPr="006D53A1">
        <w:rPr>
          <w:rFonts w:ascii="Times New Roman" w:hAnsi="Times New Roman" w:cs="Times New Roman"/>
        </w:rPr>
        <w:t xml:space="preserve">Crown filed a further memorandum requesting a one-week extension </w:t>
      </w:r>
      <w:r>
        <w:rPr>
          <w:rFonts w:ascii="Times New Roman" w:hAnsi="Times New Roman" w:cs="Times New Roman"/>
        </w:rPr>
        <w:t>t</w:t>
      </w:r>
      <w:r w:rsidR="006D53A1" w:rsidRPr="006D53A1">
        <w:rPr>
          <w:rFonts w:ascii="Times New Roman" w:hAnsi="Times New Roman" w:cs="Times New Roman"/>
        </w:rPr>
        <w:t>o fil</w:t>
      </w:r>
      <w:r>
        <w:rPr>
          <w:rFonts w:ascii="Times New Roman" w:hAnsi="Times New Roman" w:cs="Times New Roman"/>
        </w:rPr>
        <w:t>e</w:t>
      </w:r>
      <w:r w:rsidR="006D53A1" w:rsidRPr="006D53A1">
        <w:rPr>
          <w:rFonts w:ascii="Times New Roman" w:hAnsi="Times New Roman" w:cs="Times New Roman"/>
        </w:rPr>
        <w:t xml:space="preserve"> </w:t>
      </w:r>
      <w:r w:rsidR="002927B3">
        <w:rPr>
          <w:rFonts w:ascii="Times New Roman" w:hAnsi="Times New Roman" w:cs="Times New Roman"/>
        </w:rPr>
        <w:t>i</w:t>
      </w:r>
      <w:r w:rsidR="006D53A1" w:rsidRPr="006D53A1">
        <w:rPr>
          <w:rFonts w:ascii="Times New Roman" w:hAnsi="Times New Roman" w:cs="Times New Roman"/>
        </w:rPr>
        <w:t>t</w:t>
      </w:r>
      <w:r w:rsidR="002927B3">
        <w:rPr>
          <w:rFonts w:ascii="Times New Roman" w:hAnsi="Times New Roman" w:cs="Times New Roman"/>
        </w:rPr>
        <w:t>s</w:t>
      </w:r>
      <w:r w:rsidR="006D53A1" w:rsidRPr="006D53A1">
        <w:rPr>
          <w:rFonts w:ascii="Times New Roman" w:hAnsi="Times New Roman" w:cs="Times New Roman"/>
        </w:rPr>
        <w:t xml:space="preserve"> statement of defence. On the 27</w:t>
      </w:r>
      <w:r w:rsidR="006D53A1" w:rsidRPr="006D53A1">
        <w:rPr>
          <w:rFonts w:ascii="Times New Roman" w:hAnsi="Times New Roman" w:cs="Times New Roman"/>
          <w:vertAlign w:val="superscript"/>
        </w:rPr>
        <w:t>th</w:t>
      </w:r>
      <w:r w:rsidR="006D53A1" w:rsidRPr="006D53A1">
        <w:rPr>
          <w:rFonts w:ascii="Times New Roman" w:hAnsi="Times New Roman" w:cs="Times New Roman"/>
        </w:rPr>
        <w:t xml:space="preserve"> of March, both parties requested a</w:t>
      </w:r>
      <w:r w:rsidR="002927B3">
        <w:rPr>
          <w:rFonts w:ascii="Times New Roman" w:hAnsi="Times New Roman" w:cs="Times New Roman"/>
        </w:rPr>
        <w:t xml:space="preserve">nother </w:t>
      </w:r>
      <w:r w:rsidR="006D53A1" w:rsidRPr="006D53A1">
        <w:rPr>
          <w:rFonts w:ascii="Times New Roman" w:hAnsi="Times New Roman" w:cs="Times New Roman"/>
        </w:rPr>
        <w:t>week</w:t>
      </w:r>
      <w:r w:rsidR="002927B3">
        <w:rPr>
          <w:rFonts w:ascii="Times New Roman" w:hAnsi="Times New Roman" w:cs="Times New Roman"/>
        </w:rPr>
        <w:t>’</w:t>
      </w:r>
      <w:r w:rsidR="006D53A1" w:rsidRPr="006D53A1">
        <w:rPr>
          <w:rFonts w:ascii="Times New Roman" w:hAnsi="Times New Roman" w:cs="Times New Roman"/>
        </w:rPr>
        <w:t xml:space="preserve">s adjournment to discuss alternate </w:t>
      </w:r>
      <w:r>
        <w:rPr>
          <w:rFonts w:ascii="Times New Roman" w:hAnsi="Times New Roman" w:cs="Times New Roman"/>
        </w:rPr>
        <w:t>options</w:t>
      </w:r>
      <w:r w:rsidR="002927B3">
        <w:rPr>
          <w:rFonts w:ascii="Times New Roman" w:hAnsi="Times New Roman" w:cs="Times New Roman"/>
        </w:rPr>
        <w:t>. T</w:t>
      </w:r>
      <w:r w:rsidR="006D53A1" w:rsidRPr="006D53A1">
        <w:rPr>
          <w:rFonts w:ascii="Times New Roman" w:hAnsi="Times New Roman" w:cs="Times New Roman"/>
        </w:rPr>
        <w:t xml:space="preserve">he Crown </w:t>
      </w:r>
      <w:r w:rsidR="002927B3">
        <w:rPr>
          <w:rFonts w:ascii="Times New Roman" w:hAnsi="Times New Roman" w:cs="Times New Roman"/>
        </w:rPr>
        <w:t xml:space="preserve">then </w:t>
      </w:r>
      <w:r w:rsidR="006D53A1" w:rsidRPr="006D53A1">
        <w:rPr>
          <w:rFonts w:ascii="Times New Roman" w:hAnsi="Times New Roman" w:cs="Times New Roman"/>
        </w:rPr>
        <w:t xml:space="preserve">sought a further week to file </w:t>
      </w:r>
      <w:r w:rsidR="00723C45">
        <w:rPr>
          <w:rFonts w:ascii="Times New Roman" w:hAnsi="Times New Roman" w:cs="Times New Roman"/>
        </w:rPr>
        <w:t>its</w:t>
      </w:r>
      <w:r>
        <w:rPr>
          <w:rFonts w:ascii="Times New Roman" w:hAnsi="Times New Roman" w:cs="Times New Roman"/>
        </w:rPr>
        <w:t xml:space="preserve"> </w:t>
      </w:r>
      <w:r w:rsidR="006D53A1" w:rsidRPr="006D53A1">
        <w:rPr>
          <w:rFonts w:ascii="Times New Roman" w:hAnsi="Times New Roman" w:cs="Times New Roman"/>
        </w:rPr>
        <w:t>statement of defence.</w:t>
      </w:r>
      <w:r w:rsidR="002927B3">
        <w:rPr>
          <w:rFonts w:ascii="Times New Roman" w:hAnsi="Times New Roman" w:cs="Times New Roman"/>
        </w:rPr>
        <w:t xml:space="preserve"> </w:t>
      </w:r>
      <w:r w:rsidR="006D53A1" w:rsidRPr="006D53A1">
        <w:rPr>
          <w:rFonts w:ascii="Times New Roman" w:hAnsi="Times New Roman" w:cs="Times New Roman"/>
        </w:rPr>
        <w:t>Justice Peters granted the request, ordering proceedings to resume on 11</w:t>
      </w:r>
      <w:r w:rsidR="006D53A1" w:rsidRPr="006D53A1">
        <w:rPr>
          <w:rFonts w:ascii="Times New Roman" w:hAnsi="Times New Roman" w:cs="Times New Roman"/>
          <w:vertAlign w:val="superscript"/>
        </w:rPr>
        <w:t>th</w:t>
      </w:r>
      <w:r w:rsidR="006D53A1" w:rsidRPr="006D53A1">
        <w:rPr>
          <w:rFonts w:ascii="Times New Roman" w:hAnsi="Times New Roman" w:cs="Times New Roman"/>
        </w:rPr>
        <w:t xml:space="preserve"> of April</w:t>
      </w:r>
      <w:r w:rsidR="00265E4F">
        <w:rPr>
          <w:rFonts w:ascii="Times New Roman" w:hAnsi="Times New Roman" w:cs="Times New Roman"/>
        </w:rPr>
        <w:t>. T</w:t>
      </w:r>
      <w:r w:rsidR="006D53A1" w:rsidRPr="006D53A1">
        <w:rPr>
          <w:rFonts w:ascii="Times New Roman" w:hAnsi="Times New Roman" w:cs="Times New Roman"/>
        </w:rPr>
        <w:t>he Crown missed the 5</w:t>
      </w:r>
      <w:r w:rsidR="006D53A1" w:rsidRPr="006D53A1">
        <w:rPr>
          <w:rFonts w:ascii="Times New Roman" w:hAnsi="Times New Roman" w:cs="Times New Roman"/>
          <w:vertAlign w:val="superscript"/>
        </w:rPr>
        <w:t>th</w:t>
      </w:r>
      <w:r w:rsidR="006D53A1" w:rsidRPr="006D53A1">
        <w:rPr>
          <w:rFonts w:ascii="Times New Roman" w:hAnsi="Times New Roman" w:cs="Times New Roman"/>
        </w:rPr>
        <w:t xml:space="preserve"> April filing da</w:t>
      </w:r>
      <w:r w:rsidR="00723C45">
        <w:rPr>
          <w:rFonts w:ascii="Times New Roman" w:hAnsi="Times New Roman" w:cs="Times New Roman"/>
        </w:rPr>
        <w:t>te</w:t>
      </w:r>
      <w:r>
        <w:rPr>
          <w:rFonts w:ascii="Times New Roman" w:hAnsi="Times New Roman" w:cs="Times New Roman"/>
        </w:rPr>
        <w:t xml:space="preserve"> and </w:t>
      </w:r>
      <w:r w:rsidR="006D53A1" w:rsidRPr="006D53A1">
        <w:rPr>
          <w:rFonts w:ascii="Times New Roman" w:hAnsi="Times New Roman" w:cs="Times New Roman"/>
        </w:rPr>
        <w:t>on the 6</w:t>
      </w:r>
      <w:r w:rsidR="006D53A1" w:rsidRPr="006D53A1">
        <w:rPr>
          <w:rFonts w:ascii="Times New Roman" w:hAnsi="Times New Roman" w:cs="Times New Roman"/>
          <w:vertAlign w:val="superscript"/>
        </w:rPr>
        <w:t>th</w:t>
      </w:r>
      <w:r w:rsidR="006D53A1" w:rsidRPr="006D53A1">
        <w:rPr>
          <w:rFonts w:ascii="Times New Roman" w:hAnsi="Times New Roman" w:cs="Times New Roman"/>
        </w:rPr>
        <w:t xml:space="preserve"> of April</w:t>
      </w:r>
      <w:r>
        <w:rPr>
          <w:rFonts w:ascii="Times New Roman" w:hAnsi="Times New Roman" w:cs="Times New Roman"/>
        </w:rPr>
        <w:t xml:space="preserve"> </w:t>
      </w:r>
      <w:r w:rsidR="006D53A1" w:rsidRPr="006D53A1">
        <w:rPr>
          <w:rFonts w:ascii="Times New Roman" w:hAnsi="Times New Roman" w:cs="Times New Roman"/>
        </w:rPr>
        <w:t xml:space="preserve">filed a memorandum that discussions had </w:t>
      </w:r>
      <w:r>
        <w:rPr>
          <w:rFonts w:ascii="Times New Roman" w:hAnsi="Times New Roman" w:cs="Times New Roman"/>
        </w:rPr>
        <w:t xml:space="preserve">been </w:t>
      </w:r>
      <w:r w:rsidR="006D53A1" w:rsidRPr="006D53A1">
        <w:rPr>
          <w:rFonts w:ascii="Times New Roman" w:hAnsi="Times New Roman" w:cs="Times New Roman"/>
        </w:rPr>
        <w:t>unsuccessful</w:t>
      </w:r>
      <w:r>
        <w:rPr>
          <w:rFonts w:ascii="Times New Roman" w:hAnsi="Times New Roman" w:cs="Times New Roman"/>
        </w:rPr>
        <w:t>.</w:t>
      </w:r>
    </w:p>
    <w:p w:rsidR="006D53A1" w:rsidRPr="006D53A1" w:rsidRDefault="0084145A" w:rsidP="00FE294D">
      <w:pPr>
        <w:spacing w:line="240" w:lineRule="auto"/>
        <w:jc w:val="both"/>
        <w:rPr>
          <w:rFonts w:ascii="Times New Roman" w:hAnsi="Times New Roman" w:cs="Times New Roman"/>
        </w:rPr>
      </w:pPr>
      <w:r>
        <w:rPr>
          <w:rFonts w:ascii="Times New Roman" w:hAnsi="Times New Roman" w:cs="Times New Roman"/>
        </w:rPr>
        <w:t>T</w:t>
      </w:r>
      <w:r w:rsidR="006D53A1" w:rsidRPr="006D53A1">
        <w:rPr>
          <w:rFonts w:ascii="Times New Roman" w:hAnsi="Times New Roman" w:cs="Times New Roman"/>
        </w:rPr>
        <w:t xml:space="preserve">he Crown objected to Mr Singh’s application because it was outside the 28 days specified in </w:t>
      </w:r>
      <w:r w:rsidRPr="006D53A1">
        <w:rPr>
          <w:rFonts w:ascii="Times New Roman" w:hAnsi="Times New Roman" w:cs="Times New Roman"/>
        </w:rPr>
        <w:t>s 237</w:t>
      </w:r>
      <w:r>
        <w:rPr>
          <w:rFonts w:ascii="Times New Roman" w:hAnsi="Times New Roman" w:cs="Times New Roman"/>
        </w:rPr>
        <w:t xml:space="preserve"> of </w:t>
      </w:r>
      <w:r w:rsidR="006D53A1" w:rsidRPr="006D53A1">
        <w:rPr>
          <w:rFonts w:ascii="Times New Roman" w:hAnsi="Times New Roman" w:cs="Times New Roman"/>
        </w:rPr>
        <w:t xml:space="preserve">the Immigration Act 2009 </w:t>
      </w:r>
      <w:r>
        <w:rPr>
          <w:rFonts w:ascii="Times New Roman" w:hAnsi="Times New Roman" w:cs="Times New Roman"/>
        </w:rPr>
        <w:t xml:space="preserve">and </w:t>
      </w:r>
      <w:r w:rsidR="006D53A1" w:rsidRPr="006D53A1">
        <w:rPr>
          <w:rFonts w:ascii="Times New Roman" w:hAnsi="Times New Roman" w:cs="Times New Roman"/>
        </w:rPr>
        <w:t>attempted to file a notice of appearance under protest to the Court’</w:t>
      </w:r>
      <w:r>
        <w:rPr>
          <w:rFonts w:ascii="Times New Roman" w:hAnsi="Times New Roman" w:cs="Times New Roman"/>
        </w:rPr>
        <w:t>s</w:t>
      </w:r>
      <w:r w:rsidR="006D53A1" w:rsidRPr="006D53A1">
        <w:rPr>
          <w:rFonts w:ascii="Times New Roman" w:hAnsi="Times New Roman" w:cs="Times New Roman"/>
        </w:rPr>
        <w:t xml:space="preserve"> jurisdiction under r 5.49 High Court Rules 2016. The Crown </w:t>
      </w:r>
      <w:r w:rsidR="006102E0">
        <w:rPr>
          <w:rFonts w:ascii="Times New Roman" w:hAnsi="Times New Roman" w:cs="Times New Roman"/>
        </w:rPr>
        <w:t xml:space="preserve">also </w:t>
      </w:r>
      <w:r w:rsidR="006D53A1" w:rsidRPr="006D53A1">
        <w:rPr>
          <w:rFonts w:ascii="Times New Roman" w:hAnsi="Times New Roman" w:cs="Times New Roman"/>
        </w:rPr>
        <w:t>object</w:t>
      </w:r>
      <w:r w:rsidR="0037497A">
        <w:rPr>
          <w:rFonts w:ascii="Times New Roman" w:hAnsi="Times New Roman" w:cs="Times New Roman"/>
        </w:rPr>
        <w:t>ed</w:t>
      </w:r>
      <w:r w:rsidR="006D53A1" w:rsidRPr="006D53A1">
        <w:rPr>
          <w:rFonts w:ascii="Times New Roman" w:hAnsi="Times New Roman" w:cs="Times New Roman"/>
        </w:rPr>
        <w:t xml:space="preserve"> to Mr Singh’s application for judicial review because he had missed a filing da</w:t>
      </w:r>
      <w:r w:rsidR="00723C45">
        <w:rPr>
          <w:rFonts w:ascii="Times New Roman" w:hAnsi="Times New Roman" w:cs="Times New Roman"/>
        </w:rPr>
        <w:t>te</w:t>
      </w:r>
      <w:r>
        <w:rPr>
          <w:rFonts w:ascii="Times New Roman" w:hAnsi="Times New Roman" w:cs="Times New Roman"/>
        </w:rPr>
        <w:t xml:space="preserve"> </w:t>
      </w:r>
      <w:r w:rsidR="0037497A">
        <w:rPr>
          <w:rFonts w:ascii="Times New Roman" w:hAnsi="Times New Roman" w:cs="Times New Roman"/>
        </w:rPr>
        <w:t xml:space="preserve">- </w:t>
      </w:r>
      <w:r>
        <w:rPr>
          <w:rFonts w:ascii="Times New Roman" w:hAnsi="Times New Roman" w:cs="Times New Roman"/>
        </w:rPr>
        <w:t xml:space="preserve">even though </w:t>
      </w:r>
      <w:r w:rsidR="00EF1242">
        <w:rPr>
          <w:rFonts w:ascii="Times New Roman" w:hAnsi="Times New Roman" w:cs="Times New Roman"/>
        </w:rPr>
        <w:t>i</w:t>
      </w:r>
      <w:r>
        <w:rPr>
          <w:rFonts w:ascii="Times New Roman" w:hAnsi="Times New Roman" w:cs="Times New Roman"/>
        </w:rPr>
        <w:t>t</w:t>
      </w:r>
      <w:r w:rsidR="006D53A1" w:rsidRPr="006D53A1">
        <w:rPr>
          <w:rFonts w:ascii="Times New Roman" w:hAnsi="Times New Roman" w:cs="Times New Roman"/>
        </w:rPr>
        <w:t xml:space="preserve">s </w:t>
      </w:r>
      <w:r>
        <w:rPr>
          <w:rFonts w:ascii="Times New Roman" w:hAnsi="Times New Roman" w:cs="Times New Roman"/>
        </w:rPr>
        <w:t xml:space="preserve">own </w:t>
      </w:r>
      <w:r w:rsidR="006D53A1" w:rsidRPr="006D53A1">
        <w:rPr>
          <w:rFonts w:ascii="Times New Roman" w:hAnsi="Times New Roman" w:cs="Times New Roman"/>
        </w:rPr>
        <w:t xml:space="preserve">submission was outside the </w:t>
      </w:r>
      <w:r w:rsidR="006102E0" w:rsidRPr="006D53A1">
        <w:rPr>
          <w:rFonts w:ascii="Times New Roman" w:hAnsi="Times New Roman" w:cs="Times New Roman"/>
        </w:rPr>
        <w:t xml:space="preserve">specified </w:t>
      </w:r>
      <w:r w:rsidR="006D53A1" w:rsidRPr="006D53A1">
        <w:rPr>
          <w:rFonts w:ascii="Times New Roman" w:hAnsi="Times New Roman" w:cs="Times New Roman"/>
        </w:rPr>
        <w:t>28 days.</w:t>
      </w:r>
      <w:r w:rsidR="00723C45">
        <w:rPr>
          <w:rFonts w:ascii="Times New Roman" w:hAnsi="Times New Roman" w:cs="Times New Roman"/>
        </w:rPr>
        <w:t xml:space="preserve"> </w:t>
      </w:r>
      <w:r w:rsidR="006D53A1" w:rsidRPr="006D53A1">
        <w:rPr>
          <w:rFonts w:ascii="Times New Roman" w:hAnsi="Times New Roman" w:cs="Times New Roman"/>
        </w:rPr>
        <w:t>When the proceeding</w:t>
      </w:r>
      <w:r w:rsidR="00723C45">
        <w:rPr>
          <w:rFonts w:ascii="Times New Roman" w:hAnsi="Times New Roman" w:cs="Times New Roman"/>
        </w:rPr>
        <w:t>s</w:t>
      </w:r>
      <w:r w:rsidR="006D53A1" w:rsidRPr="006D53A1">
        <w:rPr>
          <w:rFonts w:ascii="Times New Roman" w:hAnsi="Times New Roman" w:cs="Times New Roman"/>
        </w:rPr>
        <w:t xml:space="preserve"> w</w:t>
      </w:r>
      <w:r w:rsidR="00723C45">
        <w:rPr>
          <w:rFonts w:ascii="Times New Roman" w:hAnsi="Times New Roman" w:cs="Times New Roman"/>
        </w:rPr>
        <w:t>ere</w:t>
      </w:r>
      <w:r w:rsidR="006D53A1" w:rsidRPr="006D53A1">
        <w:rPr>
          <w:rFonts w:ascii="Times New Roman" w:hAnsi="Times New Roman" w:cs="Times New Roman"/>
        </w:rPr>
        <w:t xml:space="preserve"> </w:t>
      </w:r>
      <w:r w:rsidR="00723C45">
        <w:rPr>
          <w:rFonts w:ascii="Times New Roman" w:hAnsi="Times New Roman" w:cs="Times New Roman"/>
        </w:rPr>
        <w:t>finally heard</w:t>
      </w:r>
      <w:r w:rsidR="006D53A1" w:rsidRPr="006D53A1">
        <w:rPr>
          <w:rFonts w:ascii="Times New Roman" w:hAnsi="Times New Roman" w:cs="Times New Roman"/>
        </w:rPr>
        <w:t xml:space="preserve">, the Crown </w:t>
      </w:r>
      <w:r w:rsidR="00C92991">
        <w:rPr>
          <w:rFonts w:ascii="Times New Roman" w:hAnsi="Times New Roman" w:cs="Times New Roman"/>
        </w:rPr>
        <w:t xml:space="preserve">argued that </w:t>
      </w:r>
      <w:r w:rsidR="006D53A1" w:rsidRPr="006D53A1">
        <w:rPr>
          <w:rFonts w:ascii="Times New Roman" w:hAnsi="Times New Roman" w:cs="Times New Roman"/>
        </w:rPr>
        <w:t xml:space="preserve">the Court </w:t>
      </w:r>
      <w:r w:rsidR="00C92991">
        <w:rPr>
          <w:rFonts w:ascii="Times New Roman" w:hAnsi="Times New Roman" w:cs="Times New Roman"/>
        </w:rPr>
        <w:t>did</w:t>
      </w:r>
      <w:r w:rsidR="006D53A1" w:rsidRPr="006D53A1">
        <w:rPr>
          <w:rFonts w:ascii="Times New Roman" w:hAnsi="Times New Roman" w:cs="Times New Roman"/>
        </w:rPr>
        <w:t xml:space="preserve"> no</w:t>
      </w:r>
      <w:r w:rsidR="00C92991">
        <w:rPr>
          <w:rFonts w:ascii="Times New Roman" w:hAnsi="Times New Roman" w:cs="Times New Roman"/>
        </w:rPr>
        <w:t>t have</w:t>
      </w:r>
      <w:r w:rsidR="006D53A1" w:rsidRPr="006D53A1">
        <w:rPr>
          <w:rFonts w:ascii="Times New Roman" w:hAnsi="Times New Roman" w:cs="Times New Roman"/>
        </w:rPr>
        <w:t xml:space="preserve"> jurisdiction to consider the substantive review un</w:t>
      </w:r>
      <w:r w:rsidR="000140C8">
        <w:rPr>
          <w:rFonts w:ascii="Times New Roman" w:hAnsi="Times New Roman" w:cs="Times New Roman"/>
        </w:rPr>
        <w:t>less</w:t>
      </w:r>
      <w:r w:rsidR="006D53A1" w:rsidRPr="006D53A1">
        <w:rPr>
          <w:rFonts w:ascii="Times New Roman" w:hAnsi="Times New Roman" w:cs="Times New Roman"/>
        </w:rPr>
        <w:t xml:space="preserve"> </w:t>
      </w:r>
      <w:r w:rsidR="00C92991">
        <w:rPr>
          <w:rFonts w:ascii="Times New Roman" w:hAnsi="Times New Roman" w:cs="Times New Roman"/>
        </w:rPr>
        <w:t>i</w:t>
      </w:r>
      <w:r w:rsidR="006D53A1" w:rsidRPr="006D53A1">
        <w:rPr>
          <w:rFonts w:ascii="Times New Roman" w:hAnsi="Times New Roman" w:cs="Times New Roman"/>
        </w:rPr>
        <w:t xml:space="preserve">t extended the time under s 247. </w:t>
      </w:r>
      <w:r w:rsidR="00C92991">
        <w:rPr>
          <w:rFonts w:ascii="Times New Roman" w:hAnsi="Times New Roman" w:cs="Times New Roman"/>
        </w:rPr>
        <w:t>It</w:t>
      </w:r>
      <w:r w:rsidR="006D53A1" w:rsidRPr="006D53A1">
        <w:rPr>
          <w:rFonts w:ascii="Times New Roman" w:hAnsi="Times New Roman" w:cs="Times New Roman"/>
        </w:rPr>
        <w:t xml:space="preserve"> also submitted that the Immigration Act 2009 circumscribe</w:t>
      </w:r>
      <w:r w:rsidR="00C92991">
        <w:rPr>
          <w:rFonts w:ascii="Times New Roman" w:hAnsi="Times New Roman" w:cs="Times New Roman"/>
        </w:rPr>
        <w:t>d</w:t>
      </w:r>
      <w:r w:rsidR="006D53A1" w:rsidRPr="006D53A1">
        <w:rPr>
          <w:rFonts w:ascii="Times New Roman" w:hAnsi="Times New Roman" w:cs="Times New Roman"/>
        </w:rPr>
        <w:t xml:space="preserve"> the Court’s inherent jurisdiction </w:t>
      </w:r>
      <w:r w:rsidR="00C92991">
        <w:rPr>
          <w:rFonts w:ascii="Times New Roman" w:hAnsi="Times New Roman" w:cs="Times New Roman"/>
        </w:rPr>
        <w:t>in relation t</w:t>
      </w:r>
      <w:r w:rsidR="006D53A1" w:rsidRPr="006D53A1">
        <w:rPr>
          <w:rFonts w:ascii="Times New Roman" w:hAnsi="Times New Roman" w:cs="Times New Roman"/>
        </w:rPr>
        <w:t>o judicial review.</w:t>
      </w:r>
    </w:p>
    <w:p w:rsidR="006D53A1" w:rsidRPr="006D53A1" w:rsidRDefault="006D53A1" w:rsidP="00FE294D">
      <w:pPr>
        <w:spacing w:line="240" w:lineRule="auto"/>
        <w:jc w:val="both"/>
        <w:rPr>
          <w:rFonts w:ascii="Times New Roman" w:hAnsi="Times New Roman" w:cs="Times New Roman"/>
        </w:rPr>
      </w:pPr>
      <w:r w:rsidRPr="006D53A1">
        <w:rPr>
          <w:rFonts w:ascii="Times New Roman" w:hAnsi="Times New Roman" w:cs="Times New Roman"/>
        </w:rPr>
        <w:t xml:space="preserve">Mr Singh opposed the Crown’s position </w:t>
      </w:r>
      <w:r w:rsidR="00723C45">
        <w:rPr>
          <w:rFonts w:ascii="Times New Roman" w:hAnsi="Times New Roman" w:cs="Times New Roman"/>
        </w:rPr>
        <w:t xml:space="preserve">arguing </w:t>
      </w:r>
      <w:r w:rsidRPr="006D53A1">
        <w:rPr>
          <w:rFonts w:ascii="Times New Roman" w:hAnsi="Times New Roman" w:cs="Times New Roman"/>
        </w:rPr>
        <w:t xml:space="preserve">it </w:t>
      </w:r>
      <w:r w:rsidR="000140C8">
        <w:rPr>
          <w:rFonts w:ascii="Times New Roman" w:hAnsi="Times New Roman" w:cs="Times New Roman"/>
        </w:rPr>
        <w:t>wa</w:t>
      </w:r>
      <w:r w:rsidRPr="006D53A1">
        <w:rPr>
          <w:rFonts w:ascii="Times New Roman" w:hAnsi="Times New Roman" w:cs="Times New Roman"/>
        </w:rPr>
        <w:t xml:space="preserve">s the Court’s constitutional duty to uphold the rule of law. </w:t>
      </w:r>
      <w:r w:rsidR="002927B3">
        <w:rPr>
          <w:rFonts w:ascii="Times New Roman" w:hAnsi="Times New Roman" w:cs="Times New Roman"/>
        </w:rPr>
        <w:t>In this case t</w:t>
      </w:r>
      <w:r w:rsidR="000140C8">
        <w:rPr>
          <w:rFonts w:ascii="Times New Roman" w:hAnsi="Times New Roman" w:cs="Times New Roman"/>
        </w:rPr>
        <w:t>here</w:t>
      </w:r>
      <w:r w:rsidRPr="006D53A1">
        <w:rPr>
          <w:rFonts w:ascii="Times New Roman" w:hAnsi="Times New Roman" w:cs="Times New Roman"/>
        </w:rPr>
        <w:t xml:space="preserve"> </w:t>
      </w:r>
      <w:r w:rsidR="00C92991">
        <w:rPr>
          <w:rFonts w:ascii="Times New Roman" w:hAnsi="Times New Roman" w:cs="Times New Roman"/>
        </w:rPr>
        <w:t>we</w:t>
      </w:r>
      <w:r w:rsidRPr="006D53A1">
        <w:rPr>
          <w:rFonts w:ascii="Times New Roman" w:hAnsi="Times New Roman" w:cs="Times New Roman"/>
        </w:rPr>
        <w:t>re special circumstances justifying an extension of time</w:t>
      </w:r>
      <w:r w:rsidR="000140C8">
        <w:rPr>
          <w:rFonts w:ascii="Times New Roman" w:hAnsi="Times New Roman" w:cs="Times New Roman"/>
        </w:rPr>
        <w:t xml:space="preserve">, </w:t>
      </w:r>
      <w:r w:rsidRPr="006D53A1">
        <w:rPr>
          <w:rFonts w:ascii="Times New Roman" w:hAnsi="Times New Roman" w:cs="Times New Roman"/>
        </w:rPr>
        <w:t>Mr Singh not ha</w:t>
      </w:r>
      <w:r w:rsidR="000140C8">
        <w:rPr>
          <w:rFonts w:ascii="Times New Roman" w:hAnsi="Times New Roman" w:cs="Times New Roman"/>
        </w:rPr>
        <w:t>ving had</w:t>
      </w:r>
      <w:r w:rsidRPr="006D53A1">
        <w:rPr>
          <w:rFonts w:ascii="Times New Roman" w:hAnsi="Times New Roman" w:cs="Times New Roman"/>
        </w:rPr>
        <w:t xml:space="preserve"> </w:t>
      </w:r>
      <w:r w:rsidR="00C92991">
        <w:rPr>
          <w:rFonts w:ascii="Times New Roman" w:hAnsi="Times New Roman" w:cs="Times New Roman"/>
        </w:rPr>
        <w:t>an</w:t>
      </w:r>
      <w:r w:rsidRPr="006D53A1">
        <w:rPr>
          <w:rFonts w:ascii="Times New Roman" w:hAnsi="Times New Roman" w:cs="Times New Roman"/>
        </w:rPr>
        <w:t xml:space="preserve"> opportunity to seek legal advice </w:t>
      </w:r>
      <w:r w:rsidR="000140C8">
        <w:rPr>
          <w:rFonts w:ascii="Times New Roman" w:hAnsi="Times New Roman" w:cs="Times New Roman"/>
        </w:rPr>
        <w:t>because h</w:t>
      </w:r>
      <w:r w:rsidR="00723C45">
        <w:rPr>
          <w:rFonts w:ascii="Times New Roman" w:hAnsi="Times New Roman" w:cs="Times New Roman"/>
        </w:rPr>
        <w:t xml:space="preserve">e </w:t>
      </w:r>
      <w:r w:rsidR="000140C8">
        <w:rPr>
          <w:rFonts w:ascii="Times New Roman" w:hAnsi="Times New Roman" w:cs="Times New Roman"/>
        </w:rPr>
        <w:t xml:space="preserve">was </w:t>
      </w:r>
      <w:r w:rsidR="00723C45">
        <w:rPr>
          <w:rFonts w:ascii="Times New Roman" w:hAnsi="Times New Roman" w:cs="Times New Roman"/>
        </w:rPr>
        <w:t>receivi</w:t>
      </w:r>
      <w:r w:rsidRPr="006D53A1">
        <w:rPr>
          <w:rFonts w:ascii="Times New Roman" w:hAnsi="Times New Roman" w:cs="Times New Roman"/>
        </w:rPr>
        <w:t>ng mental health treatment.</w:t>
      </w:r>
      <w:r w:rsidR="000140C8">
        <w:rPr>
          <w:rFonts w:ascii="Times New Roman" w:hAnsi="Times New Roman" w:cs="Times New Roman"/>
        </w:rPr>
        <w:t xml:space="preserve"> He</w:t>
      </w:r>
      <w:r w:rsidRPr="006D53A1">
        <w:rPr>
          <w:rFonts w:ascii="Times New Roman" w:hAnsi="Times New Roman" w:cs="Times New Roman"/>
        </w:rPr>
        <w:t xml:space="preserve"> </w:t>
      </w:r>
      <w:r w:rsidR="006102E0">
        <w:rPr>
          <w:rFonts w:ascii="Times New Roman" w:hAnsi="Times New Roman" w:cs="Times New Roman"/>
        </w:rPr>
        <w:t xml:space="preserve">was </w:t>
      </w:r>
      <w:r w:rsidR="0037497A">
        <w:rPr>
          <w:rFonts w:ascii="Times New Roman" w:hAnsi="Times New Roman" w:cs="Times New Roman"/>
        </w:rPr>
        <w:t>s</w:t>
      </w:r>
      <w:r w:rsidR="006102E0">
        <w:rPr>
          <w:rFonts w:ascii="Times New Roman" w:hAnsi="Times New Roman" w:cs="Times New Roman"/>
        </w:rPr>
        <w:t xml:space="preserve">imply </w:t>
      </w:r>
      <w:r w:rsidRPr="006D53A1">
        <w:rPr>
          <w:rFonts w:ascii="Times New Roman" w:hAnsi="Times New Roman" w:cs="Times New Roman"/>
        </w:rPr>
        <w:t>s</w:t>
      </w:r>
      <w:r w:rsidR="006102E0">
        <w:rPr>
          <w:rFonts w:ascii="Times New Roman" w:hAnsi="Times New Roman" w:cs="Times New Roman"/>
        </w:rPr>
        <w:t>eeking</w:t>
      </w:r>
      <w:r w:rsidRPr="006D53A1">
        <w:rPr>
          <w:rFonts w:ascii="Times New Roman" w:hAnsi="Times New Roman" w:cs="Times New Roman"/>
        </w:rPr>
        <w:t xml:space="preserve"> an interim order </w:t>
      </w:r>
      <w:r w:rsidR="006102E0">
        <w:rPr>
          <w:rFonts w:ascii="Times New Roman" w:hAnsi="Times New Roman" w:cs="Times New Roman"/>
        </w:rPr>
        <w:t xml:space="preserve">to </w:t>
      </w:r>
      <w:r w:rsidRPr="006D53A1">
        <w:rPr>
          <w:rFonts w:ascii="Times New Roman" w:hAnsi="Times New Roman" w:cs="Times New Roman"/>
        </w:rPr>
        <w:t>preserv</w:t>
      </w:r>
      <w:r w:rsidR="006102E0">
        <w:rPr>
          <w:rFonts w:ascii="Times New Roman" w:hAnsi="Times New Roman" w:cs="Times New Roman"/>
        </w:rPr>
        <w:t>e</w:t>
      </w:r>
      <w:r w:rsidRPr="006D53A1">
        <w:rPr>
          <w:rFonts w:ascii="Times New Roman" w:hAnsi="Times New Roman" w:cs="Times New Roman"/>
        </w:rPr>
        <w:t xml:space="preserve"> his position</w:t>
      </w:r>
      <w:r w:rsidR="006102E0">
        <w:rPr>
          <w:rFonts w:ascii="Times New Roman" w:hAnsi="Times New Roman" w:cs="Times New Roman"/>
        </w:rPr>
        <w:t>. T</w:t>
      </w:r>
      <w:r w:rsidR="006102E0" w:rsidRPr="006D53A1">
        <w:rPr>
          <w:rFonts w:ascii="Times New Roman" w:hAnsi="Times New Roman" w:cs="Times New Roman"/>
        </w:rPr>
        <w:t xml:space="preserve">he Crown </w:t>
      </w:r>
      <w:r w:rsidR="006102E0">
        <w:rPr>
          <w:rFonts w:ascii="Times New Roman" w:hAnsi="Times New Roman" w:cs="Times New Roman"/>
        </w:rPr>
        <w:t>cl</w:t>
      </w:r>
      <w:r w:rsidR="006102E0" w:rsidRPr="006D53A1">
        <w:rPr>
          <w:rFonts w:ascii="Times New Roman" w:hAnsi="Times New Roman" w:cs="Times New Roman"/>
        </w:rPr>
        <w:t>a</w:t>
      </w:r>
      <w:r w:rsidR="006102E0">
        <w:rPr>
          <w:rFonts w:ascii="Times New Roman" w:hAnsi="Times New Roman" w:cs="Times New Roman"/>
        </w:rPr>
        <w:t>im</w:t>
      </w:r>
      <w:r w:rsidR="006102E0" w:rsidRPr="006D53A1">
        <w:rPr>
          <w:rFonts w:ascii="Times New Roman" w:hAnsi="Times New Roman" w:cs="Times New Roman"/>
        </w:rPr>
        <w:t>e</w:t>
      </w:r>
      <w:r w:rsidR="006102E0">
        <w:rPr>
          <w:rFonts w:ascii="Times New Roman" w:hAnsi="Times New Roman" w:cs="Times New Roman"/>
        </w:rPr>
        <w:t xml:space="preserve">d that Mr Singh’s position was </w:t>
      </w:r>
      <w:r w:rsidR="006102E0" w:rsidRPr="006D53A1">
        <w:rPr>
          <w:rFonts w:ascii="Times New Roman" w:hAnsi="Times New Roman" w:cs="Times New Roman"/>
        </w:rPr>
        <w:t>contrary to the principle of legality and the rule of law</w:t>
      </w:r>
      <w:r w:rsidR="006102E0">
        <w:rPr>
          <w:rFonts w:ascii="Times New Roman" w:hAnsi="Times New Roman" w:cs="Times New Roman"/>
        </w:rPr>
        <w:t xml:space="preserve"> even though the effect was to </w:t>
      </w:r>
      <w:r w:rsidR="00707AF6" w:rsidRPr="006D53A1">
        <w:rPr>
          <w:rFonts w:ascii="Times New Roman" w:hAnsi="Times New Roman" w:cs="Times New Roman"/>
        </w:rPr>
        <w:t>implicitly depriv</w:t>
      </w:r>
      <w:r w:rsidR="006102E0">
        <w:rPr>
          <w:rFonts w:ascii="Times New Roman" w:hAnsi="Times New Roman" w:cs="Times New Roman"/>
        </w:rPr>
        <w:t>e</w:t>
      </w:r>
      <w:r w:rsidR="00707AF6" w:rsidRPr="006D53A1">
        <w:rPr>
          <w:rFonts w:ascii="Times New Roman" w:hAnsi="Times New Roman" w:cs="Times New Roman"/>
        </w:rPr>
        <w:t xml:space="preserve"> the </w:t>
      </w:r>
      <w:r w:rsidR="006102E0">
        <w:rPr>
          <w:rFonts w:ascii="Times New Roman" w:hAnsi="Times New Roman" w:cs="Times New Roman"/>
        </w:rPr>
        <w:t>C</w:t>
      </w:r>
      <w:r w:rsidR="00707AF6" w:rsidRPr="006D53A1">
        <w:rPr>
          <w:rFonts w:ascii="Times New Roman" w:hAnsi="Times New Roman" w:cs="Times New Roman"/>
        </w:rPr>
        <w:t>ourt of its inherent jurisdiction to supervise abuse of power by the executive via judicial review</w:t>
      </w:r>
      <w:r w:rsidR="006102E0">
        <w:rPr>
          <w:rFonts w:ascii="Times New Roman" w:hAnsi="Times New Roman" w:cs="Times New Roman"/>
        </w:rPr>
        <w:t>.</w:t>
      </w:r>
      <w:r w:rsidR="00707AF6">
        <w:rPr>
          <w:rFonts w:ascii="Times New Roman" w:hAnsi="Times New Roman" w:cs="Times New Roman"/>
        </w:rPr>
        <w:t xml:space="preserve"> </w:t>
      </w:r>
    </w:p>
    <w:p w:rsidR="006D53A1" w:rsidRPr="006D53A1" w:rsidRDefault="006102E0" w:rsidP="00FE294D">
      <w:pPr>
        <w:spacing w:line="240" w:lineRule="auto"/>
        <w:jc w:val="both"/>
        <w:rPr>
          <w:rFonts w:ascii="Times New Roman" w:hAnsi="Times New Roman" w:cs="Times New Roman"/>
        </w:rPr>
      </w:pPr>
      <w:r>
        <w:rPr>
          <w:rFonts w:ascii="Times New Roman" w:hAnsi="Times New Roman" w:cs="Times New Roman"/>
        </w:rPr>
        <w:t>W</w:t>
      </w:r>
      <w:r w:rsidR="00707AF6" w:rsidRPr="006D53A1">
        <w:rPr>
          <w:rFonts w:ascii="Times New Roman" w:hAnsi="Times New Roman" w:cs="Times New Roman"/>
        </w:rPr>
        <w:t>here there are “uncommon, not commonplace, out of the ordinary, abnormal”</w:t>
      </w:r>
      <w:r w:rsidR="00707AF6" w:rsidRPr="006D53A1">
        <w:rPr>
          <w:rStyle w:val="FootnoteReference"/>
          <w:rFonts w:ascii="Times New Roman" w:hAnsi="Times New Roman" w:cs="Times New Roman"/>
        </w:rPr>
        <w:footnoteReference w:id="17"/>
      </w:r>
      <w:r w:rsidR="00707AF6">
        <w:rPr>
          <w:rStyle w:val="FootnoteReference"/>
          <w:rFonts w:ascii="Times New Roman" w:hAnsi="Times New Roman" w:cs="Times New Roman"/>
        </w:rPr>
        <w:t xml:space="preserve"> </w:t>
      </w:r>
      <w:r w:rsidR="00707AF6" w:rsidRPr="006D53A1">
        <w:rPr>
          <w:rFonts w:ascii="Times New Roman" w:hAnsi="Times New Roman" w:cs="Times New Roman"/>
        </w:rPr>
        <w:t xml:space="preserve">circumstances </w:t>
      </w:r>
      <w:r w:rsidR="00707AF6">
        <w:rPr>
          <w:rFonts w:ascii="Times New Roman" w:hAnsi="Times New Roman" w:cs="Times New Roman"/>
        </w:rPr>
        <w:t xml:space="preserve">which </w:t>
      </w:r>
      <w:r w:rsidR="00707AF6" w:rsidRPr="006D53A1">
        <w:rPr>
          <w:rFonts w:ascii="Times New Roman" w:hAnsi="Times New Roman" w:cs="Times New Roman"/>
        </w:rPr>
        <w:t>warrant it, the Court can grant an extension of time to commence review proceedings.</w:t>
      </w:r>
      <w:r w:rsidR="00707AF6">
        <w:rPr>
          <w:rFonts w:ascii="Times New Roman" w:hAnsi="Times New Roman" w:cs="Times New Roman"/>
        </w:rPr>
        <w:t xml:space="preserve"> </w:t>
      </w:r>
      <w:r w:rsidR="006D53A1" w:rsidRPr="006D53A1">
        <w:rPr>
          <w:rFonts w:ascii="Times New Roman" w:hAnsi="Times New Roman" w:cs="Times New Roman"/>
        </w:rPr>
        <w:t>Justice Palmer</w:t>
      </w:r>
      <w:r>
        <w:rPr>
          <w:rFonts w:ascii="Times New Roman" w:hAnsi="Times New Roman" w:cs="Times New Roman"/>
        </w:rPr>
        <w:t xml:space="preserve"> found that </w:t>
      </w:r>
      <w:r w:rsidRPr="006D53A1">
        <w:rPr>
          <w:rFonts w:ascii="Times New Roman" w:hAnsi="Times New Roman" w:cs="Times New Roman"/>
        </w:rPr>
        <w:t>there were special circumstances in Mr Singh’</w:t>
      </w:r>
      <w:r>
        <w:rPr>
          <w:rFonts w:ascii="Times New Roman" w:hAnsi="Times New Roman" w:cs="Times New Roman"/>
        </w:rPr>
        <w:t>s</w:t>
      </w:r>
      <w:r w:rsidRPr="006D53A1">
        <w:rPr>
          <w:rFonts w:ascii="Times New Roman" w:hAnsi="Times New Roman" w:cs="Times New Roman"/>
        </w:rPr>
        <w:t xml:space="preserve"> case warranting the Court’s discretion to extend the statutory deadline in s 247 of the Immigration Act.</w:t>
      </w:r>
      <w:r>
        <w:rPr>
          <w:rFonts w:ascii="Times New Roman" w:hAnsi="Times New Roman" w:cs="Times New Roman"/>
        </w:rPr>
        <w:t xml:space="preserve"> He </w:t>
      </w:r>
      <w:r w:rsidR="006D53A1" w:rsidRPr="006D53A1">
        <w:rPr>
          <w:rFonts w:ascii="Times New Roman" w:hAnsi="Times New Roman" w:cs="Times New Roman"/>
        </w:rPr>
        <w:t xml:space="preserve">made an interim declaration under the Judicial Review Procedure Act 2016 </w:t>
      </w:r>
      <w:r w:rsidR="002927B3">
        <w:rPr>
          <w:rFonts w:ascii="Times New Roman" w:hAnsi="Times New Roman" w:cs="Times New Roman"/>
        </w:rPr>
        <w:t>stopping</w:t>
      </w:r>
      <w:r w:rsidR="006D53A1" w:rsidRPr="006D53A1">
        <w:rPr>
          <w:rFonts w:ascii="Times New Roman" w:hAnsi="Times New Roman" w:cs="Times New Roman"/>
        </w:rPr>
        <w:t xml:space="preserve"> the Crown tak</w:t>
      </w:r>
      <w:r w:rsidR="002927B3">
        <w:rPr>
          <w:rFonts w:ascii="Times New Roman" w:hAnsi="Times New Roman" w:cs="Times New Roman"/>
        </w:rPr>
        <w:t>ing</w:t>
      </w:r>
      <w:r w:rsidR="006D53A1" w:rsidRPr="006D53A1">
        <w:rPr>
          <w:rFonts w:ascii="Times New Roman" w:hAnsi="Times New Roman" w:cs="Times New Roman"/>
        </w:rPr>
        <w:t xml:space="preserve"> steps to deport the applicant pending the final outcome of </w:t>
      </w:r>
      <w:r w:rsidR="006D53A1">
        <w:rPr>
          <w:rFonts w:ascii="Times New Roman" w:hAnsi="Times New Roman" w:cs="Times New Roman"/>
        </w:rPr>
        <w:t>t</w:t>
      </w:r>
      <w:r w:rsidR="006D53A1" w:rsidRPr="006D53A1">
        <w:rPr>
          <w:rFonts w:ascii="Times New Roman" w:hAnsi="Times New Roman" w:cs="Times New Roman"/>
        </w:rPr>
        <w:t>he review</w:t>
      </w:r>
      <w:r w:rsidR="002927B3">
        <w:rPr>
          <w:rFonts w:ascii="Times New Roman" w:hAnsi="Times New Roman" w:cs="Times New Roman"/>
        </w:rPr>
        <w:t xml:space="preserve"> </w:t>
      </w:r>
      <w:r w:rsidR="0037497A">
        <w:rPr>
          <w:rFonts w:ascii="Times New Roman" w:hAnsi="Times New Roman" w:cs="Times New Roman"/>
        </w:rPr>
        <w:t xml:space="preserve">and </w:t>
      </w:r>
      <w:r w:rsidR="006D53A1" w:rsidRPr="006D53A1">
        <w:rPr>
          <w:rFonts w:ascii="Times New Roman" w:hAnsi="Times New Roman" w:cs="Times New Roman"/>
        </w:rPr>
        <w:t>uph</w:t>
      </w:r>
      <w:r w:rsidR="00723C45">
        <w:rPr>
          <w:rFonts w:ascii="Times New Roman" w:hAnsi="Times New Roman" w:cs="Times New Roman"/>
        </w:rPr>
        <w:t>o</w:t>
      </w:r>
      <w:r w:rsidR="006D53A1" w:rsidRPr="006D53A1">
        <w:rPr>
          <w:rFonts w:ascii="Times New Roman" w:hAnsi="Times New Roman" w:cs="Times New Roman"/>
        </w:rPr>
        <w:t>ld</w:t>
      </w:r>
      <w:r w:rsidR="00723C45">
        <w:rPr>
          <w:rFonts w:ascii="Times New Roman" w:hAnsi="Times New Roman" w:cs="Times New Roman"/>
        </w:rPr>
        <w:t>ing</w:t>
      </w:r>
      <w:r w:rsidR="006D53A1" w:rsidRPr="006D53A1">
        <w:rPr>
          <w:rFonts w:ascii="Times New Roman" w:hAnsi="Times New Roman" w:cs="Times New Roman"/>
        </w:rPr>
        <w:t xml:space="preserve"> Mr Singh’s right to judicial review </w:t>
      </w:r>
      <w:r w:rsidR="00723C45">
        <w:rPr>
          <w:rFonts w:ascii="Times New Roman" w:hAnsi="Times New Roman" w:cs="Times New Roman"/>
        </w:rPr>
        <w:t xml:space="preserve">under </w:t>
      </w:r>
      <w:r w:rsidR="00723C45" w:rsidRPr="006D53A1">
        <w:rPr>
          <w:rFonts w:ascii="Times New Roman" w:hAnsi="Times New Roman" w:cs="Times New Roman"/>
        </w:rPr>
        <w:t xml:space="preserve">s 27 </w:t>
      </w:r>
      <w:r w:rsidR="002927B3">
        <w:rPr>
          <w:rFonts w:ascii="Times New Roman" w:hAnsi="Times New Roman" w:cs="Times New Roman"/>
        </w:rPr>
        <w:t xml:space="preserve">of the NZBORA, including </w:t>
      </w:r>
      <w:r w:rsidR="006D53A1" w:rsidRPr="006D53A1">
        <w:rPr>
          <w:rFonts w:ascii="Times New Roman" w:hAnsi="Times New Roman" w:cs="Times New Roman"/>
        </w:rPr>
        <w:t xml:space="preserve">his entitlement to </w:t>
      </w:r>
      <w:r w:rsidR="00723C45">
        <w:rPr>
          <w:rFonts w:ascii="Times New Roman" w:hAnsi="Times New Roman" w:cs="Times New Roman"/>
        </w:rPr>
        <w:t xml:space="preserve">have </w:t>
      </w:r>
      <w:r w:rsidR="006D53A1" w:rsidRPr="006D53A1">
        <w:rPr>
          <w:rFonts w:ascii="Times New Roman" w:hAnsi="Times New Roman" w:cs="Times New Roman"/>
        </w:rPr>
        <w:t xml:space="preserve">his proceedings </w:t>
      </w:r>
      <w:r w:rsidR="00723C45">
        <w:rPr>
          <w:rFonts w:ascii="Times New Roman" w:hAnsi="Times New Roman" w:cs="Times New Roman"/>
        </w:rPr>
        <w:t xml:space="preserve">determined </w:t>
      </w:r>
      <w:r w:rsidR="006D53A1" w:rsidRPr="006D53A1">
        <w:rPr>
          <w:rFonts w:ascii="Times New Roman" w:hAnsi="Times New Roman" w:cs="Times New Roman"/>
        </w:rPr>
        <w:t xml:space="preserve">on the merits rather than on a technicality. </w:t>
      </w:r>
    </w:p>
    <w:p w:rsidR="001B0908" w:rsidRDefault="0037497A" w:rsidP="00FE294D">
      <w:pPr>
        <w:spacing w:line="240" w:lineRule="auto"/>
        <w:jc w:val="both"/>
        <w:rPr>
          <w:rFonts w:ascii="Times New Roman" w:hAnsi="Times New Roman" w:cs="Times New Roman"/>
        </w:rPr>
      </w:pPr>
      <w:r>
        <w:rPr>
          <w:rFonts w:ascii="Times New Roman" w:hAnsi="Times New Roman" w:cs="Times New Roman"/>
        </w:rPr>
        <w:t xml:space="preserve">The </w:t>
      </w:r>
      <w:r w:rsidR="00B1507A">
        <w:rPr>
          <w:rFonts w:ascii="Times New Roman" w:hAnsi="Times New Roman" w:cs="Times New Roman"/>
        </w:rPr>
        <w:t xml:space="preserve">implications </w:t>
      </w:r>
      <w:r>
        <w:rPr>
          <w:rFonts w:ascii="Times New Roman" w:hAnsi="Times New Roman" w:cs="Times New Roman"/>
        </w:rPr>
        <w:t xml:space="preserve">of </w:t>
      </w:r>
      <w:r w:rsidR="00EF1242">
        <w:rPr>
          <w:rFonts w:ascii="Times New Roman" w:hAnsi="Times New Roman" w:cs="Times New Roman"/>
        </w:rPr>
        <w:t>compl</w:t>
      </w:r>
      <w:r w:rsidR="001B0908">
        <w:rPr>
          <w:rFonts w:ascii="Times New Roman" w:hAnsi="Times New Roman" w:cs="Times New Roman"/>
        </w:rPr>
        <w:t>y</w:t>
      </w:r>
      <w:r w:rsidR="00EF1242">
        <w:rPr>
          <w:rFonts w:ascii="Times New Roman" w:hAnsi="Times New Roman" w:cs="Times New Roman"/>
        </w:rPr>
        <w:t>in</w:t>
      </w:r>
      <w:r w:rsidR="001B0908">
        <w:rPr>
          <w:rFonts w:ascii="Times New Roman" w:hAnsi="Times New Roman" w:cs="Times New Roman"/>
        </w:rPr>
        <w:t>g</w:t>
      </w:r>
      <w:r w:rsidR="00EF1242">
        <w:rPr>
          <w:rFonts w:ascii="Times New Roman" w:hAnsi="Times New Roman" w:cs="Times New Roman"/>
        </w:rPr>
        <w:t xml:space="preserve"> with the </w:t>
      </w:r>
      <w:r w:rsidR="00A635AF">
        <w:rPr>
          <w:rFonts w:ascii="Times New Roman" w:hAnsi="Times New Roman" w:cs="Times New Roman"/>
        </w:rPr>
        <w:t>statutory</w:t>
      </w:r>
      <w:r w:rsidR="00EF1242">
        <w:rPr>
          <w:rFonts w:ascii="Times New Roman" w:hAnsi="Times New Roman" w:cs="Times New Roman"/>
        </w:rPr>
        <w:t xml:space="preserve"> requirements of the Immigration Act in a claim for refugee status </w:t>
      </w:r>
      <w:r>
        <w:rPr>
          <w:rFonts w:ascii="Times New Roman" w:hAnsi="Times New Roman" w:cs="Times New Roman"/>
        </w:rPr>
        <w:t>w</w:t>
      </w:r>
      <w:r w:rsidR="00B1507A">
        <w:rPr>
          <w:rFonts w:ascii="Times New Roman" w:hAnsi="Times New Roman" w:cs="Times New Roman"/>
        </w:rPr>
        <w:t>ere</w:t>
      </w:r>
      <w:r>
        <w:rPr>
          <w:rFonts w:ascii="Times New Roman" w:hAnsi="Times New Roman" w:cs="Times New Roman"/>
        </w:rPr>
        <w:t xml:space="preserve"> considered </w:t>
      </w:r>
      <w:r w:rsidR="002B5716">
        <w:rPr>
          <w:rFonts w:ascii="Times New Roman" w:hAnsi="Times New Roman" w:cs="Times New Roman"/>
        </w:rPr>
        <w:t xml:space="preserve">in </w:t>
      </w:r>
      <w:r w:rsidR="00BD00A9">
        <w:rPr>
          <w:rFonts w:ascii="Times New Roman" w:hAnsi="Times New Roman" w:cs="Times New Roman"/>
        </w:rPr>
        <w:t>some</w:t>
      </w:r>
      <w:r w:rsidR="002B5716">
        <w:rPr>
          <w:rFonts w:ascii="Times New Roman" w:hAnsi="Times New Roman" w:cs="Times New Roman"/>
        </w:rPr>
        <w:t xml:space="preserve"> d</w:t>
      </w:r>
      <w:r>
        <w:rPr>
          <w:rFonts w:ascii="Times New Roman" w:hAnsi="Times New Roman" w:cs="Times New Roman"/>
        </w:rPr>
        <w:t>e</w:t>
      </w:r>
      <w:r w:rsidR="002B5716">
        <w:rPr>
          <w:rFonts w:ascii="Times New Roman" w:hAnsi="Times New Roman" w:cs="Times New Roman"/>
        </w:rPr>
        <w:t>tai</w:t>
      </w:r>
      <w:r>
        <w:rPr>
          <w:rFonts w:ascii="Times New Roman" w:hAnsi="Times New Roman" w:cs="Times New Roman"/>
        </w:rPr>
        <w:t xml:space="preserve">l </w:t>
      </w:r>
      <w:r w:rsidR="005B0004">
        <w:rPr>
          <w:rFonts w:ascii="Times New Roman" w:hAnsi="Times New Roman" w:cs="Times New Roman"/>
        </w:rPr>
        <w:t xml:space="preserve">more recently </w:t>
      </w:r>
      <w:r w:rsidR="00B1507A">
        <w:rPr>
          <w:rFonts w:ascii="Times New Roman" w:hAnsi="Times New Roman" w:cs="Times New Roman"/>
        </w:rPr>
        <w:t>b</w:t>
      </w:r>
      <w:r>
        <w:rPr>
          <w:rFonts w:ascii="Times New Roman" w:hAnsi="Times New Roman" w:cs="Times New Roman"/>
        </w:rPr>
        <w:t xml:space="preserve">y the Supreme Court </w:t>
      </w:r>
      <w:r w:rsidR="00B1507A">
        <w:rPr>
          <w:rFonts w:ascii="Times New Roman" w:hAnsi="Times New Roman" w:cs="Times New Roman"/>
        </w:rPr>
        <w:t xml:space="preserve">in </w:t>
      </w:r>
      <w:r w:rsidRPr="00B1507A">
        <w:rPr>
          <w:rFonts w:ascii="Times New Roman" w:hAnsi="Times New Roman" w:cs="Times New Roman"/>
          <w:color w:val="00B0F0"/>
        </w:rPr>
        <w:t>H v Refugee and Protection Officer [2019] NZSC 13</w:t>
      </w:r>
      <w:r w:rsidR="005B0004" w:rsidRPr="00983AF7">
        <w:rPr>
          <w:rFonts w:ascii="Times New Roman" w:hAnsi="Times New Roman" w:cs="Times New Roman"/>
        </w:rPr>
        <w:t>.</w:t>
      </w:r>
    </w:p>
    <w:p w:rsidR="00A635AF" w:rsidRDefault="00983AF7" w:rsidP="00FE294D">
      <w:pPr>
        <w:spacing w:line="240" w:lineRule="auto"/>
        <w:jc w:val="both"/>
        <w:rPr>
          <w:rFonts w:ascii="Times New Roman" w:hAnsi="Times New Roman" w:cs="Times New Roman"/>
        </w:rPr>
      </w:pPr>
      <w:r w:rsidRPr="00983AF7">
        <w:rPr>
          <w:rFonts w:ascii="Times New Roman" w:hAnsi="Times New Roman" w:cs="Times New Roman"/>
        </w:rPr>
        <w:t xml:space="preserve">The </w:t>
      </w:r>
      <w:r>
        <w:rPr>
          <w:rFonts w:ascii="Times New Roman" w:hAnsi="Times New Roman" w:cs="Times New Roman"/>
        </w:rPr>
        <w:t>appellant</w:t>
      </w:r>
      <w:r w:rsidR="00BD00A9">
        <w:rPr>
          <w:rFonts w:ascii="Times New Roman" w:hAnsi="Times New Roman" w:cs="Times New Roman"/>
        </w:rPr>
        <w:t>, H,</w:t>
      </w:r>
      <w:r>
        <w:rPr>
          <w:rFonts w:ascii="Times New Roman" w:hAnsi="Times New Roman" w:cs="Times New Roman"/>
        </w:rPr>
        <w:t xml:space="preserve"> was a Pakistani national who claimed refugee status on the basis that he risked being killed by the Taliban if he returned to Pakistan. </w:t>
      </w:r>
      <w:r w:rsidR="00BD00A9">
        <w:rPr>
          <w:rFonts w:ascii="Times New Roman" w:hAnsi="Times New Roman" w:cs="Times New Roman"/>
        </w:rPr>
        <w:t>On arriving in New Zealand h</w:t>
      </w:r>
      <w:r>
        <w:rPr>
          <w:rFonts w:ascii="Times New Roman" w:hAnsi="Times New Roman" w:cs="Times New Roman"/>
        </w:rPr>
        <w:t>e provided information in support of his claim. An interview with a RPO was scheduled for 10</w:t>
      </w:r>
      <w:r w:rsidRPr="00983AF7">
        <w:rPr>
          <w:rFonts w:ascii="Times New Roman" w:hAnsi="Times New Roman" w:cs="Times New Roman"/>
          <w:vertAlign w:val="superscript"/>
        </w:rPr>
        <w:t>th</w:t>
      </w:r>
      <w:r>
        <w:rPr>
          <w:rFonts w:ascii="Times New Roman" w:hAnsi="Times New Roman" w:cs="Times New Roman"/>
        </w:rPr>
        <w:t xml:space="preserve"> May. On the 9</w:t>
      </w:r>
      <w:r w:rsidRPr="00983AF7">
        <w:rPr>
          <w:rFonts w:ascii="Times New Roman" w:hAnsi="Times New Roman" w:cs="Times New Roman"/>
          <w:vertAlign w:val="superscript"/>
        </w:rPr>
        <w:t>th</w:t>
      </w:r>
      <w:r>
        <w:rPr>
          <w:rFonts w:ascii="Times New Roman" w:hAnsi="Times New Roman" w:cs="Times New Roman"/>
        </w:rPr>
        <w:t xml:space="preserve"> </w:t>
      </w:r>
      <w:r w:rsidR="00BD00A9">
        <w:rPr>
          <w:rFonts w:ascii="Times New Roman" w:hAnsi="Times New Roman" w:cs="Times New Roman"/>
        </w:rPr>
        <w:t>H</w:t>
      </w:r>
      <w:r>
        <w:rPr>
          <w:rFonts w:ascii="Times New Roman" w:hAnsi="Times New Roman" w:cs="Times New Roman"/>
        </w:rPr>
        <w:t xml:space="preserve"> developed stress-related diarrhoea and a headache. He visited an emergency clinic and was given a medical certificate saying he was unfit for a week from the 9</w:t>
      </w:r>
      <w:r w:rsidRPr="00983AF7">
        <w:rPr>
          <w:rFonts w:ascii="Times New Roman" w:hAnsi="Times New Roman" w:cs="Times New Roman"/>
          <w:vertAlign w:val="superscript"/>
        </w:rPr>
        <w:t>th</w:t>
      </w:r>
      <w:r>
        <w:rPr>
          <w:rFonts w:ascii="Times New Roman" w:hAnsi="Times New Roman" w:cs="Times New Roman"/>
        </w:rPr>
        <w:t>. On the 10</w:t>
      </w:r>
      <w:r w:rsidRPr="00983AF7">
        <w:rPr>
          <w:rFonts w:ascii="Times New Roman" w:hAnsi="Times New Roman" w:cs="Times New Roman"/>
          <w:vertAlign w:val="superscript"/>
        </w:rPr>
        <w:t>th</w:t>
      </w:r>
      <w:r>
        <w:rPr>
          <w:rFonts w:ascii="Times New Roman" w:hAnsi="Times New Roman" w:cs="Times New Roman"/>
        </w:rPr>
        <w:t xml:space="preserve"> his lawyer emailed the RPO saying that his client would be unable to attend the interview. The RPO replied saying </w:t>
      </w:r>
      <w:r w:rsidR="001B0908">
        <w:rPr>
          <w:rFonts w:ascii="Times New Roman" w:hAnsi="Times New Roman" w:cs="Times New Roman"/>
        </w:rPr>
        <w:t>to reschedule</w:t>
      </w:r>
      <w:r w:rsidR="00BD00A9">
        <w:rPr>
          <w:rFonts w:ascii="Times New Roman" w:hAnsi="Times New Roman" w:cs="Times New Roman"/>
        </w:rPr>
        <w:t xml:space="preserve"> the interview H</w:t>
      </w:r>
      <w:r>
        <w:rPr>
          <w:rFonts w:ascii="Times New Roman" w:hAnsi="Times New Roman" w:cs="Times New Roman"/>
        </w:rPr>
        <w:t xml:space="preserve"> would need a medi</w:t>
      </w:r>
      <w:r w:rsidR="001B0908">
        <w:rPr>
          <w:rFonts w:ascii="Times New Roman" w:hAnsi="Times New Roman" w:cs="Times New Roman"/>
        </w:rPr>
        <w:t>c</w:t>
      </w:r>
      <w:r>
        <w:rPr>
          <w:rFonts w:ascii="Times New Roman" w:hAnsi="Times New Roman" w:cs="Times New Roman"/>
        </w:rPr>
        <w:t>al c</w:t>
      </w:r>
      <w:r w:rsidR="001B0908">
        <w:rPr>
          <w:rFonts w:ascii="Times New Roman" w:hAnsi="Times New Roman" w:cs="Times New Roman"/>
        </w:rPr>
        <w:t>e</w:t>
      </w:r>
      <w:r>
        <w:rPr>
          <w:rFonts w:ascii="Times New Roman" w:hAnsi="Times New Roman" w:cs="Times New Roman"/>
        </w:rPr>
        <w:t>rtific</w:t>
      </w:r>
      <w:r w:rsidR="001B0908">
        <w:rPr>
          <w:rFonts w:ascii="Times New Roman" w:hAnsi="Times New Roman" w:cs="Times New Roman"/>
        </w:rPr>
        <w:t>a</w:t>
      </w:r>
      <w:r>
        <w:rPr>
          <w:rFonts w:ascii="Times New Roman" w:hAnsi="Times New Roman" w:cs="Times New Roman"/>
        </w:rPr>
        <w:t>te</w:t>
      </w:r>
      <w:r w:rsidR="001B0908">
        <w:rPr>
          <w:rFonts w:ascii="Times New Roman" w:hAnsi="Times New Roman" w:cs="Times New Roman"/>
        </w:rPr>
        <w:t xml:space="preserve"> that complied with the requirements set out by the Refugee status branch of MBIE</w:t>
      </w:r>
      <w:r w:rsidR="00E02F2D">
        <w:rPr>
          <w:rFonts w:ascii="Times New Roman" w:hAnsi="Times New Roman" w:cs="Times New Roman"/>
        </w:rPr>
        <w:t xml:space="preserve"> in an explanatory booklet</w:t>
      </w:r>
      <w:r w:rsidR="001B0908">
        <w:rPr>
          <w:rFonts w:ascii="Times New Roman" w:hAnsi="Times New Roman" w:cs="Times New Roman"/>
        </w:rPr>
        <w:t xml:space="preserve">. When the lawyer emailed the medical certificate his client had received from the Clinic the RPO replied it was unacceptable because it wasn’t in the proper format (picture not Word or PDF) and did not satisfy the requirements </w:t>
      </w:r>
      <w:r w:rsidR="00BD00A9">
        <w:rPr>
          <w:rFonts w:ascii="Times New Roman" w:hAnsi="Times New Roman" w:cs="Times New Roman"/>
        </w:rPr>
        <w:t>necessary t</w:t>
      </w:r>
      <w:r w:rsidR="001B0908">
        <w:rPr>
          <w:rFonts w:ascii="Times New Roman" w:hAnsi="Times New Roman" w:cs="Times New Roman"/>
        </w:rPr>
        <w:t xml:space="preserve">o cancel an interview. Two days later the RPO declined the appellant’s claim for refugee status </w:t>
      </w:r>
      <w:r w:rsidR="00BD00A9">
        <w:rPr>
          <w:rFonts w:ascii="Times New Roman" w:hAnsi="Times New Roman" w:cs="Times New Roman"/>
        </w:rPr>
        <w:t>because he h</w:t>
      </w:r>
      <w:r w:rsidR="001B0908">
        <w:rPr>
          <w:rFonts w:ascii="Times New Roman" w:hAnsi="Times New Roman" w:cs="Times New Roman"/>
        </w:rPr>
        <w:t>a</w:t>
      </w:r>
      <w:r w:rsidR="00BD00A9">
        <w:rPr>
          <w:rFonts w:ascii="Times New Roman" w:hAnsi="Times New Roman" w:cs="Times New Roman"/>
        </w:rPr>
        <w:t>d</w:t>
      </w:r>
      <w:r w:rsidR="001B0908">
        <w:rPr>
          <w:rFonts w:ascii="Times New Roman" w:hAnsi="Times New Roman" w:cs="Times New Roman"/>
        </w:rPr>
        <w:t xml:space="preserve"> “failed to attend” the meeting and </w:t>
      </w:r>
      <w:proofErr w:type="gramStart"/>
      <w:r w:rsidR="001B0908">
        <w:rPr>
          <w:rFonts w:ascii="Times New Roman" w:hAnsi="Times New Roman" w:cs="Times New Roman"/>
        </w:rPr>
        <w:t>s.149(</w:t>
      </w:r>
      <w:proofErr w:type="gramEnd"/>
      <w:r w:rsidR="001B0908">
        <w:rPr>
          <w:rFonts w:ascii="Times New Roman" w:hAnsi="Times New Roman" w:cs="Times New Roman"/>
        </w:rPr>
        <w:t xml:space="preserve">4) of the Act applied. </w:t>
      </w:r>
      <w:r w:rsidR="00E02F2D">
        <w:rPr>
          <w:rFonts w:ascii="Times New Roman" w:hAnsi="Times New Roman" w:cs="Times New Roman"/>
        </w:rPr>
        <w:t>As a</w:t>
      </w:r>
      <w:r w:rsidR="00BD00A9">
        <w:rPr>
          <w:rFonts w:ascii="Times New Roman" w:hAnsi="Times New Roman" w:cs="Times New Roman"/>
        </w:rPr>
        <w:t xml:space="preserve"> result H was</w:t>
      </w:r>
      <w:r w:rsidR="001B0908">
        <w:rPr>
          <w:rFonts w:ascii="Times New Roman" w:hAnsi="Times New Roman" w:cs="Times New Roman"/>
        </w:rPr>
        <w:t xml:space="preserve"> </w:t>
      </w:r>
      <w:r w:rsidR="00BD00A9">
        <w:rPr>
          <w:rFonts w:ascii="Times New Roman" w:hAnsi="Times New Roman" w:cs="Times New Roman"/>
        </w:rPr>
        <w:t>unable to appeal to the Tribunal about the decision declining him refugee status. Had he been able to do so the Tribunal would have decided his claim</w:t>
      </w:r>
      <w:r w:rsidR="00B068D4">
        <w:rPr>
          <w:rFonts w:ascii="Times New Roman" w:hAnsi="Times New Roman" w:cs="Times New Roman"/>
        </w:rPr>
        <w:t xml:space="preserve"> on the merits</w:t>
      </w:r>
      <w:r w:rsidR="00BD00A9">
        <w:rPr>
          <w:rFonts w:ascii="Times New Roman" w:hAnsi="Times New Roman" w:cs="Times New Roman"/>
        </w:rPr>
        <w:t xml:space="preserve"> </w:t>
      </w:r>
      <w:r w:rsidR="00BD00A9" w:rsidRPr="00BD00A9">
        <w:rPr>
          <w:rFonts w:ascii="Times New Roman" w:hAnsi="Times New Roman" w:cs="Times New Roman"/>
          <w:i/>
        </w:rPr>
        <w:t xml:space="preserve">de </w:t>
      </w:r>
      <w:proofErr w:type="gramStart"/>
      <w:r w:rsidR="00BD00A9" w:rsidRPr="00BD00A9">
        <w:rPr>
          <w:rFonts w:ascii="Times New Roman" w:hAnsi="Times New Roman" w:cs="Times New Roman"/>
          <w:i/>
        </w:rPr>
        <w:t>novo</w:t>
      </w:r>
      <w:r w:rsidR="00BD00A9">
        <w:rPr>
          <w:rFonts w:ascii="Times New Roman" w:hAnsi="Times New Roman" w:cs="Times New Roman"/>
          <w:i/>
        </w:rPr>
        <w:t>.</w:t>
      </w:r>
      <w:proofErr w:type="gramEnd"/>
      <w:r w:rsidR="00BD00A9">
        <w:rPr>
          <w:rFonts w:ascii="Times New Roman" w:hAnsi="Times New Roman" w:cs="Times New Roman"/>
        </w:rPr>
        <w:t xml:space="preserve"> </w:t>
      </w:r>
    </w:p>
    <w:p w:rsidR="00E412C9" w:rsidRDefault="00BD00A9" w:rsidP="00FE294D">
      <w:pPr>
        <w:spacing w:line="240" w:lineRule="auto"/>
        <w:jc w:val="both"/>
        <w:rPr>
          <w:rFonts w:ascii="Times New Roman" w:hAnsi="Times New Roman" w:cs="Times New Roman"/>
        </w:rPr>
      </w:pPr>
      <w:r>
        <w:rPr>
          <w:rFonts w:ascii="Times New Roman" w:hAnsi="Times New Roman" w:cs="Times New Roman"/>
        </w:rPr>
        <w:t xml:space="preserve">Effectively the Act contemplates </w:t>
      </w:r>
      <w:r w:rsidR="00B068D4">
        <w:rPr>
          <w:rFonts w:ascii="Times New Roman" w:hAnsi="Times New Roman" w:cs="Times New Roman"/>
        </w:rPr>
        <w:t xml:space="preserve">for </w:t>
      </w:r>
      <w:r>
        <w:rPr>
          <w:rFonts w:ascii="Times New Roman" w:hAnsi="Times New Roman" w:cs="Times New Roman"/>
        </w:rPr>
        <w:t>two independent assessments of an applicant’s claim</w:t>
      </w:r>
      <w:r w:rsidR="00B068D4">
        <w:rPr>
          <w:rFonts w:ascii="Times New Roman" w:hAnsi="Times New Roman" w:cs="Times New Roman"/>
        </w:rPr>
        <w:t xml:space="preserve">. It is possible to appeal the Tribunal’s decision to the High Court and Court of Appeal (with leave) and there is a right to seek judicial review (again with leave) but only after the right of appeal to the Tribunal has been exercised. </w:t>
      </w:r>
      <w:r w:rsidR="00A635AF">
        <w:rPr>
          <w:rFonts w:ascii="Times New Roman" w:hAnsi="Times New Roman" w:cs="Times New Roman"/>
        </w:rPr>
        <w:t xml:space="preserve">H sought judicial review but both the High Court and Court of Appeal dismissed his application because there had been no initial determination by the Tribunal. </w:t>
      </w:r>
      <w:r w:rsidR="00B068D4">
        <w:rPr>
          <w:rFonts w:ascii="Times New Roman" w:hAnsi="Times New Roman" w:cs="Times New Roman"/>
        </w:rPr>
        <w:t>The Supreme Court had to de</w:t>
      </w:r>
      <w:r w:rsidR="00E412C9">
        <w:rPr>
          <w:rFonts w:ascii="Times New Roman" w:hAnsi="Times New Roman" w:cs="Times New Roman"/>
        </w:rPr>
        <w:t>c</w:t>
      </w:r>
      <w:r w:rsidR="00B068D4">
        <w:rPr>
          <w:rFonts w:ascii="Times New Roman" w:hAnsi="Times New Roman" w:cs="Times New Roman"/>
        </w:rPr>
        <w:t>i</w:t>
      </w:r>
      <w:r w:rsidR="00E412C9">
        <w:rPr>
          <w:rFonts w:ascii="Times New Roman" w:hAnsi="Times New Roman" w:cs="Times New Roman"/>
        </w:rPr>
        <w:t>d</w:t>
      </w:r>
      <w:r w:rsidR="00B068D4">
        <w:rPr>
          <w:rFonts w:ascii="Times New Roman" w:hAnsi="Times New Roman" w:cs="Times New Roman"/>
        </w:rPr>
        <w:t xml:space="preserve">e whether, given the circumstances in which the RPO </w:t>
      </w:r>
      <w:r w:rsidR="00A635AF">
        <w:rPr>
          <w:rFonts w:ascii="Times New Roman" w:hAnsi="Times New Roman" w:cs="Times New Roman"/>
        </w:rPr>
        <w:t xml:space="preserve">reached the </w:t>
      </w:r>
      <w:r w:rsidR="00B068D4">
        <w:rPr>
          <w:rFonts w:ascii="Times New Roman" w:hAnsi="Times New Roman" w:cs="Times New Roman"/>
        </w:rPr>
        <w:t>deci</w:t>
      </w:r>
      <w:r w:rsidR="00A635AF">
        <w:rPr>
          <w:rFonts w:ascii="Times New Roman" w:hAnsi="Times New Roman" w:cs="Times New Roman"/>
        </w:rPr>
        <w:t>sion</w:t>
      </w:r>
      <w:r w:rsidR="00B068D4">
        <w:rPr>
          <w:rFonts w:ascii="Times New Roman" w:hAnsi="Times New Roman" w:cs="Times New Roman"/>
        </w:rPr>
        <w:t xml:space="preserve"> that H should not be recognised as a refugee, judicial review proceedings could be brought in re</w:t>
      </w:r>
      <w:r w:rsidR="00A635AF">
        <w:rPr>
          <w:rFonts w:ascii="Times New Roman" w:hAnsi="Times New Roman" w:cs="Times New Roman"/>
        </w:rPr>
        <w:t>lation t</w:t>
      </w:r>
      <w:r w:rsidR="00B068D4">
        <w:rPr>
          <w:rFonts w:ascii="Times New Roman" w:hAnsi="Times New Roman" w:cs="Times New Roman"/>
        </w:rPr>
        <w:t>o that decision (or the previous decision</w:t>
      </w:r>
      <w:r w:rsidR="00E02F2D">
        <w:rPr>
          <w:rFonts w:ascii="Times New Roman" w:hAnsi="Times New Roman" w:cs="Times New Roman"/>
        </w:rPr>
        <w:t xml:space="preserve"> to determine the claim without having interviewed him)</w:t>
      </w:r>
      <w:r w:rsidR="00B068D4">
        <w:rPr>
          <w:rFonts w:ascii="Times New Roman" w:hAnsi="Times New Roman" w:cs="Times New Roman"/>
        </w:rPr>
        <w:t xml:space="preserve"> </w:t>
      </w:r>
      <w:r w:rsidR="00E02F2D">
        <w:rPr>
          <w:rFonts w:ascii="Times New Roman" w:hAnsi="Times New Roman" w:cs="Times New Roman"/>
        </w:rPr>
        <w:t>without the appellant having first appealed to the Tribunal and had the appeal determined by the Tribunal.</w:t>
      </w:r>
    </w:p>
    <w:p w:rsidR="00E02F2D" w:rsidRDefault="00E412C9" w:rsidP="00FE294D">
      <w:pPr>
        <w:spacing w:line="240" w:lineRule="auto"/>
        <w:jc w:val="both"/>
        <w:rPr>
          <w:rFonts w:ascii="Times New Roman" w:hAnsi="Times New Roman" w:cs="Times New Roman"/>
        </w:rPr>
      </w:pPr>
      <w:r>
        <w:rPr>
          <w:rFonts w:ascii="Times New Roman" w:hAnsi="Times New Roman" w:cs="Times New Roman"/>
        </w:rPr>
        <w:t xml:space="preserve">The Court found that the consideration of a claim for recognition as a refugee had miscarried in this case. The result was a decision that was, in substance, a refusal to engage with the intended statutory process based on incorrect application of </w:t>
      </w:r>
      <w:proofErr w:type="gramStart"/>
      <w:r>
        <w:rPr>
          <w:rFonts w:ascii="Times New Roman" w:hAnsi="Times New Roman" w:cs="Times New Roman"/>
        </w:rPr>
        <w:t>s.149(</w:t>
      </w:r>
      <w:proofErr w:type="gramEnd"/>
      <w:r>
        <w:rPr>
          <w:rFonts w:ascii="Times New Roman" w:hAnsi="Times New Roman" w:cs="Times New Roman"/>
        </w:rPr>
        <w:t>4). This deprivation was not corrected by the appeal process. T</w:t>
      </w:r>
      <w:r w:rsidR="00A635AF">
        <w:rPr>
          <w:rFonts w:ascii="Times New Roman" w:hAnsi="Times New Roman" w:cs="Times New Roman"/>
        </w:rPr>
        <w:t>he</w:t>
      </w:r>
      <w:r>
        <w:rPr>
          <w:rFonts w:ascii="Times New Roman" w:hAnsi="Times New Roman" w:cs="Times New Roman"/>
        </w:rPr>
        <w:t xml:space="preserve"> Supr</w:t>
      </w:r>
      <w:r w:rsidR="00A635AF">
        <w:rPr>
          <w:rFonts w:ascii="Times New Roman" w:hAnsi="Times New Roman" w:cs="Times New Roman"/>
        </w:rPr>
        <w:t>e</w:t>
      </w:r>
      <w:r>
        <w:rPr>
          <w:rFonts w:ascii="Times New Roman" w:hAnsi="Times New Roman" w:cs="Times New Roman"/>
        </w:rPr>
        <w:t>me Court allowed the appeal</w:t>
      </w:r>
      <w:r w:rsidR="00A635AF">
        <w:rPr>
          <w:rFonts w:ascii="Times New Roman" w:hAnsi="Times New Roman" w:cs="Times New Roman"/>
        </w:rPr>
        <w:t xml:space="preserve"> remitting the proceedings to the High Court finding that the Court was not precluded from dealing with his application and granting a remedy if it determined that it should. </w:t>
      </w:r>
      <w:r>
        <w:rPr>
          <w:rFonts w:ascii="Times New Roman" w:hAnsi="Times New Roman" w:cs="Times New Roman"/>
        </w:rPr>
        <w:t xml:space="preserve"> </w:t>
      </w:r>
    </w:p>
    <w:p w:rsidR="00180B19" w:rsidRPr="00180B19" w:rsidRDefault="00CC40B0" w:rsidP="00FE294D">
      <w:pPr>
        <w:spacing w:line="240" w:lineRule="auto"/>
        <w:jc w:val="both"/>
        <w:rPr>
          <w:rFonts w:ascii="Times New Roman" w:hAnsi="Times New Roman" w:cs="Times New Roman"/>
          <w:color w:val="00B0F0"/>
        </w:rPr>
      </w:pPr>
      <w:proofErr w:type="spellStart"/>
      <w:r w:rsidRPr="00180B19">
        <w:rPr>
          <w:rFonts w:ascii="Times New Roman" w:hAnsi="Times New Roman" w:cs="Times New Roman"/>
          <w:color w:val="00B0F0"/>
        </w:rPr>
        <w:t>T</w:t>
      </w:r>
      <w:r w:rsidR="006D53A1" w:rsidRPr="00180B19">
        <w:rPr>
          <w:rFonts w:ascii="Times New Roman" w:hAnsi="Times New Roman" w:cs="Times New Roman"/>
          <w:color w:val="00B0F0"/>
        </w:rPr>
        <w:t>e</w:t>
      </w:r>
      <w:proofErr w:type="spellEnd"/>
      <w:r w:rsidR="006D53A1" w:rsidRPr="00180B19">
        <w:rPr>
          <w:rFonts w:ascii="Times New Roman" w:hAnsi="Times New Roman" w:cs="Times New Roman"/>
          <w:color w:val="00B0F0"/>
        </w:rPr>
        <w:t xml:space="preserve"> </w:t>
      </w:r>
      <w:proofErr w:type="spellStart"/>
      <w:r w:rsidR="006D53A1" w:rsidRPr="00180B19">
        <w:rPr>
          <w:rFonts w:ascii="Times New Roman" w:hAnsi="Times New Roman" w:cs="Times New Roman"/>
          <w:color w:val="00B0F0"/>
        </w:rPr>
        <w:t>Whatu</w:t>
      </w:r>
      <w:proofErr w:type="spellEnd"/>
      <w:r w:rsidR="006D53A1" w:rsidRPr="00180B19">
        <w:rPr>
          <w:rFonts w:ascii="Times New Roman" w:hAnsi="Times New Roman" w:cs="Times New Roman"/>
          <w:color w:val="00B0F0"/>
        </w:rPr>
        <w:t xml:space="preserve"> v Department of Corrections [2017] NZHC 3233</w:t>
      </w:r>
    </w:p>
    <w:p w:rsidR="006D53A1" w:rsidRPr="006D53A1" w:rsidRDefault="006D53A1" w:rsidP="00FE294D">
      <w:pPr>
        <w:spacing w:line="240" w:lineRule="auto"/>
        <w:jc w:val="both"/>
        <w:rPr>
          <w:rFonts w:ascii="Times New Roman" w:hAnsi="Times New Roman" w:cs="Times New Roman"/>
          <w:i/>
        </w:rPr>
      </w:pPr>
      <w:r w:rsidRPr="006D53A1">
        <w:rPr>
          <w:rFonts w:ascii="Times New Roman" w:hAnsi="Times New Roman" w:cs="Times New Roman"/>
          <w:i/>
        </w:rPr>
        <w:t xml:space="preserve">Right </w:t>
      </w:r>
      <w:r w:rsidR="0000165E">
        <w:rPr>
          <w:rFonts w:ascii="Times New Roman" w:hAnsi="Times New Roman" w:cs="Times New Roman"/>
          <w:i/>
        </w:rPr>
        <w:t>t</w:t>
      </w:r>
      <w:r w:rsidRPr="006D53A1">
        <w:rPr>
          <w:rFonts w:ascii="Times New Roman" w:hAnsi="Times New Roman" w:cs="Times New Roman"/>
          <w:i/>
        </w:rPr>
        <w:t xml:space="preserve">o freedom of association </w:t>
      </w:r>
    </w:p>
    <w:p w:rsidR="006D53A1" w:rsidRPr="006D53A1" w:rsidRDefault="006D53A1" w:rsidP="00FE294D">
      <w:pPr>
        <w:spacing w:line="240" w:lineRule="auto"/>
        <w:jc w:val="both"/>
        <w:rPr>
          <w:rFonts w:ascii="Times New Roman" w:hAnsi="Times New Roman" w:cs="Times New Roman"/>
        </w:rPr>
      </w:pPr>
      <w:r w:rsidRPr="006D53A1">
        <w:rPr>
          <w:rFonts w:ascii="Times New Roman" w:hAnsi="Times New Roman" w:cs="Times New Roman"/>
        </w:rPr>
        <w:t xml:space="preserve">Mr </w:t>
      </w:r>
      <w:proofErr w:type="spellStart"/>
      <w:r w:rsidRPr="006D53A1">
        <w:rPr>
          <w:rFonts w:ascii="Times New Roman" w:hAnsi="Times New Roman" w:cs="Times New Roman"/>
        </w:rPr>
        <w:t>Te</w:t>
      </w:r>
      <w:proofErr w:type="spellEnd"/>
      <w:r w:rsidRPr="006D53A1">
        <w:rPr>
          <w:rFonts w:ascii="Times New Roman" w:hAnsi="Times New Roman" w:cs="Times New Roman"/>
        </w:rPr>
        <w:t xml:space="preserve"> </w:t>
      </w:r>
      <w:proofErr w:type="spellStart"/>
      <w:r w:rsidRPr="006D53A1">
        <w:rPr>
          <w:rFonts w:ascii="Times New Roman" w:hAnsi="Times New Roman" w:cs="Times New Roman"/>
        </w:rPr>
        <w:t>Whatu</w:t>
      </w:r>
      <w:proofErr w:type="spellEnd"/>
      <w:r w:rsidRPr="006D53A1">
        <w:rPr>
          <w:rFonts w:ascii="Times New Roman" w:hAnsi="Times New Roman" w:cs="Times New Roman"/>
        </w:rPr>
        <w:t xml:space="preserve"> is 43. He </w:t>
      </w:r>
      <w:r w:rsidR="00BE6C69">
        <w:rPr>
          <w:rFonts w:ascii="Times New Roman" w:hAnsi="Times New Roman" w:cs="Times New Roman"/>
        </w:rPr>
        <w:t>ha</w:t>
      </w:r>
      <w:r w:rsidRPr="006D53A1">
        <w:rPr>
          <w:rFonts w:ascii="Times New Roman" w:hAnsi="Times New Roman" w:cs="Times New Roman"/>
        </w:rPr>
        <w:t xml:space="preserve">d a </w:t>
      </w:r>
      <w:r w:rsidR="00BE6C69">
        <w:rPr>
          <w:rFonts w:ascii="Times New Roman" w:hAnsi="Times New Roman" w:cs="Times New Roman"/>
        </w:rPr>
        <w:t>major he</w:t>
      </w:r>
      <w:r w:rsidRPr="006D53A1">
        <w:rPr>
          <w:rFonts w:ascii="Times New Roman" w:hAnsi="Times New Roman" w:cs="Times New Roman"/>
        </w:rPr>
        <w:t xml:space="preserve">ad injury when </w:t>
      </w:r>
      <w:r w:rsidR="00115A4C">
        <w:rPr>
          <w:rFonts w:ascii="Times New Roman" w:hAnsi="Times New Roman" w:cs="Times New Roman"/>
        </w:rPr>
        <w:t xml:space="preserve">he was </w:t>
      </w:r>
      <w:r w:rsidRPr="006D53A1">
        <w:rPr>
          <w:rFonts w:ascii="Times New Roman" w:hAnsi="Times New Roman" w:cs="Times New Roman"/>
        </w:rPr>
        <w:t xml:space="preserve">young and is </w:t>
      </w:r>
      <w:r w:rsidR="004365E3">
        <w:rPr>
          <w:rFonts w:ascii="Times New Roman" w:hAnsi="Times New Roman" w:cs="Times New Roman"/>
        </w:rPr>
        <w:t xml:space="preserve">being </w:t>
      </w:r>
      <w:r w:rsidRPr="006D53A1">
        <w:rPr>
          <w:rFonts w:ascii="Times New Roman" w:hAnsi="Times New Roman" w:cs="Times New Roman"/>
        </w:rPr>
        <w:t xml:space="preserve">treated for paranoid schizophrenia. </w:t>
      </w:r>
      <w:r w:rsidR="004365E3">
        <w:rPr>
          <w:rFonts w:ascii="Times New Roman" w:hAnsi="Times New Roman" w:cs="Times New Roman"/>
        </w:rPr>
        <w:t>Although he live</w:t>
      </w:r>
      <w:r w:rsidRPr="006D53A1">
        <w:rPr>
          <w:rFonts w:ascii="Times New Roman" w:hAnsi="Times New Roman" w:cs="Times New Roman"/>
        </w:rPr>
        <w:t xml:space="preserve">s in a </w:t>
      </w:r>
      <w:r w:rsidR="004365E3">
        <w:rPr>
          <w:rFonts w:ascii="Times New Roman" w:hAnsi="Times New Roman" w:cs="Times New Roman"/>
        </w:rPr>
        <w:t>n</w:t>
      </w:r>
      <w:r w:rsidRPr="006D53A1">
        <w:rPr>
          <w:rFonts w:ascii="Times New Roman" w:hAnsi="Times New Roman" w:cs="Times New Roman"/>
        </w:rPr>
        <w:t xml:space="preserve">ight </w:t>
      </w:r>
      <w:r w:rsidR="004365E3">
        <w:rPr>
          <w:rFonts w:ascii="Times New Roman" w:hAnsi="Times New Roman" w:cs="Times New Roman"/>
        </w:rPr>
        <w:t>s</w:t>
      </w:r>
      <w:r w:rsidRPr="006D53A1">
        <w:rPr>
          <w:rFonts w:ascii="Times New Roman" w:hAnsi="Times New Roman" w:cs="Times New Roman"/>
        </w:rPr>
        <w:t xml:space="preserve">helter, </w:t>
      </w:r>
      <w:r w:rsidR="004365E3">
        <w:rPr>
          <w:rFonts w:ascii="Times New Roman" w:hAnsi="Times New Roman" w:cs="Times New Roman"/>
        </w:rPr>
        <w:t>he</w:t>
      </w:r>
      <w:r w:rsidRPr="006D53A1">
        <w:rPr>
          <w:rFonts w:ascii="Times New Roman" w:hAnsi="Times New Roman" w:cs="Times New Roman"/>
        </w:rPr>
        <w:t xml:space="preserve"> ha</w:t>
      </w:r>
      <w:r w:rsidR="0004502C">
        <w:rPr>
          <w:rFonts w:ascii="Times New Roman" w:hAnsi="Times New Roman" w:cs="Times New Roman"/>
        </w:rPr>
        <w:t>s</w:t>
      </w:r>
      <w:r w:rsidRPr="006D53A1">
        <w:rPr>
          <w:rFonts w:ascii="Times New Roman" w:hAnsi="Times New Roman" w:cs="Times New Roman"/>
        </w:rPr>
        <w:t xml:space="preserve"> been with his partner for about seven years</w:t>
      </w:r>
      <w:r w:rsidR="00BE6C69">
        <w:rPr>
          <w:rFonts w:ascii="Times New Roman" w:hAnsi="Times New Roman" w:cs="Times New Roman"/>
        </w:rPr>
        <w:t>.</w:t>
      </w:r>
      <w:r w:rsidR="004365E3">
        <w:rPr>
          <w:rFonts w:ascii="Times New Roman" w:hAnsi="Times New Roman" w:cs="Times New Roman"/>
        </w:rPr>
        <w:t xml:space="preserve"> </w:t>
      </w:r>
      <w:r w:rsidR="00BE6C69">
        <w:rPr>
          <w:rFonts w:ascii="Times New Roman" w:hAnsi="Times New Roman" w:cs="Times New Roman"/>
        </w:rPr>
        <w:t>T</w:t>
      </w:r>
      <w:r w:rsidRPr="006D53A1">
        <w:rPr>
          <w:rFonts w:ascii="Times New Roman" w:hAnsi="Times New Roman" w:cs="Times New Roman"/>
        </w:rPr>
        <w:t>hey have a child</w:t>
      </w:r>
      <w:r w:rsidR="00BE6C69">
        <w:rPr>
          <w:rFonts w:ascii="Times New Roman" w:hAnsi="Times New Roman" w:cs="Times New Roman"/>
        </w:rPr>
        <w:t xml:space="preserve"> and</w:t>
      </w:r>
      <w:r w:rsidR="004365E3">
        <w:rPr>
          <w:rFonts w:ascii="Times New Roman" w:hAnsi="Times New Roman" w:cs="Times New Roman"/>
        </w:rPr>
        <w:t xml:space="preserve"> </w:t>
      </w:r>
      <w:r w:rsidR="00BE6C69">
        <w:rPr>
          <w:rFonts w:ascii="Times New Roman" w:hAnsi="Times New Roman" w:cs="Times New Roman"/>
        </w:rPr>
        <w:t>h</w:t>
      </w:r>
      <w:r w:rsidR="004365E3">
        <w:rPr>
          <w:rFonts w:ascii="Times New Roman" w:hAnsi="Times New Roman" w:cs="Times New Roman"/>
        </w:rPr>
        <w:t>i</w:t>
      </w:r>
      <w:r w:rsidRPr="006D53A1">
        <w:rPr>
          <w:rFonts w:ascii="Times New Roman" w:hAnsi="Times New Roman" w:cs="Times New Roman"/>
        </w:rPr>
        <w:t>s partner has an eight-year old child from a previous relationship. The</w:t>
      </w:r>
      <w:r w:rsidR="00BE6C69">
        <w:rPr>
          <w:rFonts w:ascii="Times New Roman" w:hAnsi="Times New Roman" w:cs="Times New Roman"/>
        </w:rPr>
        <w:t xml:space="preserve"> </w:t>
      </w:r>
      <w:r w:rsidRPr="006D53A1">
        <w:rPr>
          <w:rFonts w:ascii="Times New Roman" w:hAnsi="Times New Roman" w:cs="Times New Roman"/>
        </w:rPr>
        <w:t>children live with their grandparents, but sometimes stay with their mother.</w:t>
      </w:r>
      <w:r w:rsidR="004365E3">
        <w:rPr>
          <w:rFonts w:ascii="Times New Roman" w:hAnsi="Times New Roman" w:cs="Times New Roman"/>
        </w:rPr>
        <w:t xml:space="preserve"> </w:t>
      </w:r>
      <w:r w:rsidRPr="006D53A1">
        <w:rPr>
          <w:rFonts w:ascii="Times New Roman" w:hAnsi="Times New Roman" w:cs="Times New Roman"/>
        </w:rPr>
        <w:t xml:space="preserve">Between 1999 and 2003, Mr </w:t>
      </w:r>
      <w:proofErr w:type="spellStart"/>
      <w:r w:rsidRPr="006D53A1">
        <w:rPr>
          <w:rFonts w:ascii="Times New Roman" w:hAnsi="Times New Roman" w:cs="Times New Roman"/>
        </w:rPr>
        <w:t>Te</w:t>
      </w:r>
      <w:proofErr w:type="spellEnd"/>
      <w:r w:rsidRPr="006D53A1">
        <w:rPr>
          <w:rFonts w:ascii="Times New Roman" w:hAnsi="Times New Roman" w:cs="Times New Roman"/>
        </w:rPr>
        <w:t xml:space="preserve"> </w:t>
      </w:r>
      <w:proofErr w:type="spellStart"/>
      <w:r w:rsidRPr="006D53A1">
        <w:rPr>
          <w:rFonts w:ascii="Times New Roman" w:hAnsi="Times New Roman" w:cs="Times New Roman"/>
        </w:rPr>
        <w:t>Whatu</w:t>
      </w:r>
      <w:proofErr w:type="spellEnd"/>
      <w:r w:rsidR="006102E0">
        <w:rPr>
          <w:rFonts w:ascii="Times New Roman" w:hAnsi="Times New Roman" w:cs="Times New Roman"/>
        </w:rPr>
        <w:t xml:space="preserve"> was</w:t>
      </w:r>
      <w:r w:rsidRPr="006D53A1">
        <w:rPr>
          <w:rFonts w:ascii="Times New Roman" w:hAnsi="Times New Roman" w:cs="Times New Roman"/>
        </w:rPr>
        <w:t xml:space="preserve"> convict</w:t>
      </w:r>
      <w:r w:rsidR="006102E0">
        <w:rPr>
          <w:rFonts w:ascii="Times New Roman" w:hAnsi="Times New Roman" w:cs="Times New Roman"/>
        </w:rPr>
        <w:t>ed</w:t>
      </w:r>
      <w:r w:rsidRPr="006D53A1">
        <w:rPr>
          <w:rFonts w:ascii="Times New Roman" w:hAnsi="Times New Roman" w:cs="Times New Roman"/>
        </w:rPr>
        <w:t xml:space="preserve"> o</w:t>
      </w:r>
      <w:r w:rsidR="00BE6C69">
        <w:rPr>
          <w:rFonts w:ascii="Times New Roman" w:hAnsi="Times New Roman" w:cs="Times New Roman"/>
        </w:rPr>
        <w:t>f</w:t>
      </w:r>
      <w:r w:rsidR="006102E0">
        <w:rPr>
          <w:rFonts w:ascii="Times New Roman" w:hAnsi="Times New Roman" w:cs="Times New Roman"/>
        </w:rPr>
        <w:t xml:space="preserve"> </w:t>
      </w:r>
      <w:r w:rsidR="00BE6C69">
        <w:rPr>
          <w:rFonts w:ascii="Times New Roman" w:hAnsi="Times New Roman" w:cs="Times New Roman"/>
        </w:rPr>
        <w:t xml:space="preserve">a number of </w:t>
      </w:r>
      <w:r w:rsidRPr="006D53A1">
        <w:rPr>
          <w:rFonts w:ascii="Times New Roman" w:hAnsi="Times New Roman" w:cs="Times New Roman"/>
        </w:rPr>
        <w:t xml:space="preserve">indecent and sexual assault charges against children. After serving his sentence, a 10 year </w:t>
      </w:r>
      <w:r w:rsidR="00BE6C69" w:rsidRPr="006D53A1">
        <w:rPr>
          <w:rFonts w:ascii="Times New Roman" w:hAnsi="Times New Roman" w:cs="Times New Roman"/>
        </w:rPr>
        <w:t xml:space="preserve">Extended Supervision Order </w:t>
      </w:r>
      <w:r w:rsidR="00BE6C69">
        <w:rPr>
          <w:rFonts w:ascii="Times New Roman" w:hAnsi="Times New Roman" w:cs="Times New Roman"/>
        </w:rPr>
        <w:t>(</w:t>
      </w:r>
      <w:r w:rsidRPr="006D53A1">
        <w:rPr>
          <w:rFonts w:ascii="Times New Roman" w:hAnsi="Times New Roman" w:cs="Times New Roman"/>
        </w:rPr>
        <w:t>ESO</w:t>
      </w:r>
      <w:r w:rsidR="00BE6C69">
        <w:rPr>
          <w:rFonts w:ascii="Times New Roman" w:hAnsi="Times New Roman" w:cs="Times New Roman"/>
        </w:rPr>
        <w:t>)</w:t>
      </w:r>
      <w:r w:rsidRPr="006D53A1">
        <w:rPr>
          <w:rFonts w:ascii="Times New Roman" w:hAnsi="Times New Roman" w:cs="Times New Roman"/>
        </w:rPr>
        <w:t xml:space="preserve"> was imposed on Mr </w:t>
      </w:r>
      <w:proofErr w:type="spellStart"/>
      <w:r w:rsidRPr="006D53A1">
        <w:rPr>
          <w:rFonts w:ascii="Times New Roman" w:hAnsi="Times New Roman" w:cs="Times New Roman"/>
        </w:rPr>
        <w:t>Te</w:t>
      </w:r>
      <w:proofErr w:type="spellEnd"/>
      <w:r w:rsidRPr="006D53A1">
        <w:rPr>
          <w:rFonts w:ascii="Times New Roman" w:hAnsi="Times New Roman" w:cs="Times New Roman"/>
        </w:rPr>
        <w:t xml:space="preserve"> </w:t>
      </w:r>
      <w:proofErr w:type="spellStart"/>
      <w:r w:rsidRPr="006D53A1">
        <w:rPr>
          <w:rFonts w:ascii="Times New Roman" w:hAnsi="Times New Roman" w:cs="Times New Roman"/>
        </w:rPr>
        <w:t>Whatu</w:t>
      </w:r>
      <w:proofErr w:type="spellEnd"/>
      <w:r w:rsidRPr="006D53A1">
        <w:rPr>
          <w:rFonts w:ascii="Times New Roman" w:hAnsi="Times New Roman" w:cs="Times New Roman"/>
        </w:rPr>
        <w:t xml:space="preserve"> </w:t>
      </w:r>
      <w:r w:rsidR="00BE6C69">
        <w:rPr>
          <w:rFonts w:ascii="Times New Roman" w:hAnsi="Times New Roman" w:cs="Times New Roman"/>
        </w:rPr>
        <w:t xml:space="preserve">as </w:t>
      </w:r>
      <w:r w:rsidRPr="006D53A1">
        <w:rPr>
          <w:rFonts w:ascii="Times New Roman" w:hAnsi="Times New Roman" w:cs="Times New Roman"/>
        </w:rPr>
        <w:t xml:space="preserve">he </w:t>
      </w:r>
      <w:r w:rsidR="00BE6C69">
        <w:rPr>
          <w:rFonts w:ascii="Times New Roman" w:hAnsi="Times New Roman" w:cs="Times New Roman"/>
        </w:rPr>
        <w:t>was</w:t>
      </w:r>
      <w:r w:rsidRPr="006D53A1">
        <w:rPr>
          <w:rFonts w:ascii="Times New Roman" w:hAnsi="Times New Roman" w:cs="Times New Roman"/>
        </w:rPr>
        <w:t xml:space="preserve"> consider</w:t>
      </w:r>
      <w:r w:rsidR="00BE6C69">
        <w:rPr>
          <w:rFonts w:ascii="Times New Roman" w:hAnsi="Times New Roman" w:cs="Times New Roman"/>
        </w:rPr>
        <w:t>ed</w:t>
      </w:r>
      <w:r w:rsidRPr="006D53A1">
        <w:rPr>
          <w:rFonts w:ascii="Times New Roman" w:hAnsi="Times New Roman" w:cs="Times New Roman"/>
        </w:rPr>
        <w:t xml:space="preserve"> </w:t>
      </w:r>
      <w:r w:rsidR="00115A4C">
        <w:rPr>
          <w:rFonts w:ascii="Times New Roman" w:hAnsi="Times New Roman" w:cs="Times New Roman"/>
        </w:rPr>
        <w:t xml:space="preserve">an </w:t>
      </w:r>
      <w:r w:rsidRPr="006D53A1">
        <w:rPr>
          <w:rFonts w:ascii="Times New Roman" w:hAnsi="Times New Roman" w:cs="Times New Roman"/>
        </w:rPr>
        <w:t xml:space="preserve">ongoing risk. </w:t>
      </w:r>
      <w:r w:rsidR="006102E0">
        <w:rPr>
          <w:rFonts w:ascii="Times New Roman" w:hAnsi="Times New Roman" w:cs="Times New Roman"/>
        </w:rPr>
        <w:t>Under s</w:t>
      </w:r>
      <w:r w:rsidRPr="006D53A1">
        <w:rPr>
          <w:rFonts w:ascii="Times New Roman" w:hAnsi="Times New Roman" w:cs="Times New Roman"/>
        </w:rPr>
        <w:t xml:space="preserve">ection 107Q of the Parole Act 2002 </w:t>
      </w:r>
      <w:r w:rsidR="004365E3">
        <w:rPr>
          <w:rFonts w:ascii="Times New Roman" w:hAnsi="Times New Roman" w:cs="Times New Roman"/>
        </w:rPr>
        <w:t>an</w:t>
      </w:r>
      <w:r w:rsidRPr="006D53A1">
        <w:rPr>
          <w:rFonts w:ascii="Times New Roman" w:hAnsi="Times New Roman" w:cs="Times New Roman"/>
        </w:rPr>
        <w:t xml:space="preserve"> ESO is put on hold if the person is sentenced to a period in prison</w:t>
      </w:r>
      <w:r w:rsidR="00115A4C">
        <w:rPr>
          <w:rFonts w:ascii="Times New Roman" w:hAnsi="Times New Roman" w:cs="Times New Roman"/>
        </w:rPr>
        <w:t xml:space="preserve"> and </w:t>
      </w:r>
      <w:r w:rsidRPr="006D53A1">
        <w:rPr>
          <w:rFonts w:ascii="Times New Roman" w:hAnsi="Times New Roman" w:cs="Times New Roman"/>
        </w:rPr>
        <w:t>reactivated when they are released.</w:t>
      </w:r>
      <w:r w:rsidR="004365E3">
        <w:rPr>
          <w:rFonts w:ascii="Times New Roman" w:hAnsi="Times New Roman" w:cs="Times New Roman"/>
        </w:rPr>
        <w:t xml:space="preserve"> T</w:t>
      </w:r>
      <w:r w:rsidRPr="006D53A1">
        <w:rPr>
          <w:rFonts w:ascii="Times New Roman" w:hAnsi="Times New Roman" w:cs="Times New Roman"/>
        </w:rPr>
        <w:t>he D</w:t>
      </w:r>
      <w:r w:rsidR="00115A4C">
        <w:rPr>
          <w:rFonts w:ascii="Times New Roman" w:hAnsi="Times New Roman" w:cs="Times New Roman"/>
        </w:rPr>
        <w:t xml:space="preserve">epartment of </w:t>
      </w:r>
      <w:r w:rsidRPr="006D53A1">
        <w:rPr>
          <w:rFonts w:ascii="Times New Roman" w:hAnsi="Times New Roman" w:cs="Times New Roman"/>
        </w:rPr>
        <w:t>C</w:t>
      </w:r>
      <w:r w:rsidR="00115A4C">
        <w:rPr>
          <w:rFonts w:ascii="Times New Roman" w:hAnsi="Times New Roman" w:cs="Times New Roman"/>
        </w:rPr>
        <w:t>orrections</w:t>
      </w:r>
      <w:r w:rsidRPr="006D53A1">
        <w:rPr>
          <w:rFonts w:ascii="Times New Roman" w:hAnsi="Times New Roman" w:cs="Times New Roman"/>
        </w:rPr>
        <w:t xml:space="preserve"> </w:t>
      </w:r>
      <w:r w:rsidR="00115A4C">
        <w:rPr>
          <w:rFonts w:ascii="Times New Roman" w:hAnsi="Times New Roman" w:cs="Times New Roman"/>
        </w:rPr>
        <w:t xml:space="preserve">(DOC) </w:t>
      </w:r>
      <w:r w:rsidR="004365E3">
        <w:rPr>
          <w:rFonts w:ascii="Times New Roman" w:hAnsi="Times New Roman" w:cs="Times New Roman"/>
        </w:rPr>
        <w:t>considered</w:t>
      </w:r>
      <w:r w:rsidRPr="006D53A1">
        <w:rPr>
          <w:rFonts w:ascii="Times New Roman" w:hAnsi="Times New Roman" w:cs="Times New Roman"/>
        </w:rPr>
        <w:t xml:space="preserve"> th</w:t>
      </w:r>
      <w:r w:rsidR="004365E3">
        <w:rPr>
          <w:rFonts w:ascii="Times New Roman" w:hAnsi="Times New Roman" w:cs="Times New Roman"/>
        </w:rPr>
        <w:t>at</w:t>
      </w:r>
      <w:r w:rsidRPr="006D53A1">
        <w:rPr>
          <w:rFonts w:ascii="Times New Roman" w:hAnsi="Times New Roman" w:cs="Times New Roman"/>
        </w:rPr>
        <w:t xml:space="preserve"> Mr </w:t>
      </w:r>
      <w:proofErr w:type="spellStart"/>
      <w:r w:rsidRPr="006D53A1">
        <w:rPr>
          <w:rFonts w:ascii="Times New Roman" w:hAnsi="Times New Roman" w:cs="Times New Roman"/>
        </w:rPr>
        <w:t>Te</w:t>
      </w:r>
      <w:proofErr w:type="spellEnd"/>
      <w:r w:rsidRPr="006D53A1">
        <w:rPr>
          <w:rFonts w:ascii="Times New Roman" w:hAnsi="Times New Roman" w:cs="Times New Roman"/>
        </w:rPr>
        <w:t xml:space="preserve"> </w:t>
      </w:r>
      <w:proofErr w:type="spellStart"/>
      <w:r w:rsidRPr="006D53A1">
        <w:rPr>
          <w:rFonts w:ascii="Times New Roman" w:hAnsi="Times New Roman" w:cs="Times New Roman"/>
        </w:rPr>
        <w:t>Whatu’s</w:t>
      </w:r>
      <w:proofErr w:type="spellEnd"/>
      <w:r w:rsidRPr="006D53A1">
        <w:rPr>
          <w:rFonts w:ascii="Times New Roman" w:hAnsi="Times New Roman" w:cs="Times New Roman"/>
        </w:rPr>
        <w:t xml:space="preserve"> ESO r</w:t>
      </w:r>
      <w:r w:rsidR="006102E0">
        <w:rPr>
          <w:rFonts w:ascii="Times New Roman" w:hAnsi="Times New Roman" w:cs="Times New Roman"/>
        </w:rPr>
        <w:t>an</w:t>
      </w:r>
      <w:r w:rsidRPr="006D53A1">
        <w:rPr>
          <w:rFonts w:ascii="Times New Roman" w:hAnsi="Times New Roman" w:cs="Times New Roman"/>
        </w:rPr>
        <w:t xml:space="preserve"> until 15/10/2018</w:t>
      </w:r>
      <w:r w:rsidR="004365E3">
        <w:rPr>
          <w:rFonts w:ascii="Times New Roman" w:hAnsi="Times New Roman" w:cs="Times New Roman"/>
        </w:rPr>
        <w:t xml:space="preserve"> because</w:t>
      </w:r>
      <w:r w:rsidRPr="006D53A1">
        <w:rPr>
          <w:rFonts w:ascii="Times New Roman" w:hAnsi="Times New Roman" w:cs="Times New Roman"/>
        </w:rPr>
        <w:t xml:space="preserve"> </w:t>
      </w:r>
      <w:r w:rsidR="004365E3">
        <w:rPr>
          <w:rFonts w:ascii="Times New Roman" w:hAnsi="Times New Roman" w:cs="Times New Roman"/>
        </w:rPr>
        <w:t xml:space="preserve">of </w:t>
      </w:r>
      <w:r w:rsidRPr="006D53A1">
        <w:rPr>
          <w:rFonts w:ascii="Times New Roman" w:hAnsi="Times New Roman" w:cs="Times New Roman"/>
        </w:rPr>
        <w:t>h</w:t>
      </w:r>
      <w:r w:rsidR="004365E3">
        <w:rPr>
          <w:rFonts w:ascii="Times New Roman" w:hAnsi="Times New Roman" w:cs="Times New Roman"/>
        </w:rPr>
        <w:t>is</w:t>
      </w:r>
      <w:r w:rsidRPr="006D53A1">
        <w:rPr>
          <w:rFonts w:ascii="Times New Roman" w:hAnsi="Times New Roman" w:cs="Times New Roman"/>
        </w:rPr>
        <w:t xml:space="preserve"> multiple periods of incarceration</w:t>
      </w:r>
      <w:r w:rsidR="004365E3">
        <w:rPr>
          <w:rFonts w:ascii="Times New Roman" w:hAnsi="Times New Roman" w:cs="Times New Roman"/>
        </w:rPr>
        <w:t xml:space="preserve"> for breaching the order</w:t>
      </w:r>
      <w:r w:rsidR="006102E0">
        <w:rPr>
          <w:rFonts w:ascii="Times New Roman" w:hAnsi="Times New Roman" w:cs="Times New Roman"/>
        </w:rPr>
        <w:t xml:space="preserve"> </w:t>
      </w:r>
      <w:r w:rsidRPr="006D53A1">
        <w:rPr>
          <w:rFonts w:ascii="Times New Roman" w:hAnsi="Times New Roman" w:cs="Times New Roman"/>
        </w:rPr>
        <w:t>includ</w:t>
      </w:r>
      <w:r w:rsidR="00983AF7">
        <w:rPr>
          <w:rFonts w:ascii="Times New Roman" w:hAnsi="Times New Roman" w:cs="Times New Roman"/>
        </w:rPr>
        <w:t>ing</w:t>
      </w:r>
      <w:r w:rsidRPr="006D53A1">
        <w:rPr>
          <w:rFonts w:ascii="Times New Roman" w:hAnsi="Times New Roman" w:cs="Times New Roman"/>
        </w:rPr>
        <w:t xml:space="preserve"> not reporting to his Parole Officer, moving from an approved residential address without permission, n</w:t>
      </w:r>
      <w:r w:rsidR="004365E3">
        <w:rPr>
          <w:rFonts w:ascii="Times New Roman" w:hAnsi="Times New Roman" w:cs="Times New Roman"/>
        </w:rPr>
        <w:t>o</w:t>
      </w:r>
      <w:r w:rsidRPr="006D53A1">
        <w:rPr>
          <w:rFonts w:ascii="Times New Roman" w:hAnsi="Times New Roman" w:cs="Times New Roman"/>
        </w:rPr>
        <w:t>t being at the address during curfew and having contact with children under 16 years old (including his son</w:t>
      </w:r>
      <w:r w:rsidR="004365E3">
        <w:rPr>
          <w:rFonts w:ascii="Times New Roman" w:hAnsi="Times New Roman" w:cs="Times New Roman"/>
        </w:rPr>
        <w:t xml:space="preserve"> o</w:t>
      </w:r>
      <w:r w:rsidR="006102E0">
        <w:rPr>
          <w:rFonts w:ascii="Times New Roman" w:hAnsi="Times New Roman" w:cs="Times New Roman"/>
        </w:rPr>
        <w:t>f</w:t>
      </w:r>
      <w:r w:rsidRPr="006D53A1">
        <w:rPr>
          <w:rFonts w:ascii="Times New Roman" w:hAnsi="Times New Roman" w:cs="Times New Roman"/>
        </w:rPr>
        <w:t xml:space="preserve"> 7).</w:t>
      </w:r>
    </w:p>
    <w:p w:rsidR="00115A4C" w:rsidRDefault="00BE6C69" w:rsidP="00FD51F0">
      <w:pPr>
        <w:spacing w:after="0" w:line="240" w:lineRule="auto"/>
        <w:jc w:val="both"/>
        <w:rPr>
          <w:rFonts w:ascii="Times New Roman" w:hAnsi="Times New Roman" w:cs="Times New Roman"/>
        </w:rPr>
      </w:pPr>
      <w:r>
        <w:rPr>
          <w:rFonts w:ascii="Times New Roman" w:hAnsi="Times New Roman" w:cs="Times New Roman"/>
        </w:rPr>
        <w:t>An</w:t>
      </w:r>
      <w:r w:rsidR="006D53A1" w:rsidRPr="006D53A1">
        <w:rPr>
          <w:rFonts w:ascii="Times New Roman" w:hAnsi="Times New Roman" w:cs="Times New Roman"/>
        </w:rPr>
        <w:t xml:space="preserve"> ESO </w:t>
      </w:r>
      <w:r>
        <w:rPr>
          <w:rFonts w:ascii="Times New Roman" w:hAnsi="Times New Roman" w:cs="Times New Roman"/>
        </w:rPr>
        <w:t>allows</w:t>
      </w:r>
      <w:r w:rsidR="006D53A1" w:rsidRPr="006D53A1">
        <w:rPr>
          <w:rFonts w:ascii="Times New Roman" w:hAnsi="Times New Roman" w:cs="Times New Roman"/>
        </w:rPr>
        <w:t xml:space="preserve"> </w:t>
      </w:r>
      <w:r>
        <w:rPr>
          <w:rFonts w:ascii="Times New Roman" w:hAnsi="Times New Roman" w:cs="Times New Roman"/>
        </w:rPr>
        <w:t>a</w:t>
      </w:r>
      <w:r w:rsidR="006D53A1" w:rsidRPr="006D53A1">
        <w:rPr>
          <w:rFonts w:ascii="Times New Roman" w:hAnsi="Times New Roman" w:cs="Times New Roman"/>
        </w:rPr>
        <w:t xml:space="preserve"> parole officer </w:t>
      </w:r>
      <w:r w:rsidR="00B1507A">
        <w:rPr>
          <w:rFonts w:ascii="Times New Roman" w:hAnsi="Times New Roman" w:cs="Times New Roman"/>
        </w:rPr>
        <w:t>t</w:t>
      </w:r>
      <w:r w:rsidR="006D53A1" w:rsidRPr="006D53A1">
        <w:rPr>
          <w:rFonts w:ascii="Times New Roman" w:hAnsi="Times New Roman" w:cs="Times New Roman"/>
        </w:rPr>
        <w:t>o make a Non-</w:t>
      </w:r>
      <w:r w:rsidR="004365E3">
        <w:rPr>
          <w:rFonts w:ascii="Times New Roman" w:hAnsi="Times New Roman" w:cs="Times New Roman"/>
        </w:rPr>
        <w:t>A</w:t>
      </w:r>
      <w:r w:rsidR="006D53A1" w:rsidRPr="006D53A1">
        <w:rPr>
          <w:rFonts w:ascii="Times New Roman" w:hAnsi="Times New Roman" w:cs="Times New Roman"/>
        </w:rPr>
        <w:t>ssociation Direction (</w:t>
      </w:r>
      <w:r w:rsidR="00C037E8">
        <w:rPr>
          <w:rFonts w:ascii="Times New Roman" w:hAnsi="Times New Roman" w:cs="Times New Roman"/>
        </w:rPr>
        <w:t>NA</w:t>
      </w:r>
      <w:r w:rsidR="006D53A1" w:rsidRPr="006D53A1">
        <w:rPr>
          <w:rFonts w:ascii="Times New Roman" w:hAnsi="Times New Roman" w:cs="Times New Roman"/>
        </w:rPr>
        <w:t>D)</w:t>
      </w:r>
      <w:r w:rsidR="004365E3">
        <w:rPr>
          <w:rFonts w:ascii="Times New Roman" w:hAnsi="Times New Roman" w:cs="Times New Roman"/>
        </w:rPr>
        <w:t>.</w:t>
      </w:r>
      <w:r w:rsidR="006D53A1" w:rsidRPr="006D53A1">
        <w:rPr>
          <w:rFonts w:ascii="Times New Roman" w:hAnsi="Times New Roman" w:cs="Times New Roman"/>
        </w:rPr>
        <w:t xml:space="preserve"> A N</w:t>
      </w:r>
      <w:r w:rsidR="00115A4C">
        <w:rPr>
          <w:rFonts w:ascii="Times New Roman" w:hAnsi="Times New Roman" w:cs="Times New Roman"/>
        </w:rPr>
        <w:t>A</w:t>
      </w:r>
      <w:r w:rsidR="00C037E8">
        <w:rPr>
          <w:rFonts w:ascii="Times New Roman" w:hAnsi="Times New Roman" w:cs="Times New Roman"/>
        </w:rPr>
        <w:t>D</w:t>
      </w:r>
      <w:r w:rsidR="006D53A1" w:rsidRPr="006D53A1">
        <w:rPr>
          <w:rFonts w:ascii="Times New Roman" w:hAnsi="Times New Roman" w:cs="Times New Roman"/>
        </w:rPr>
        <w:t xml:space="preserve"> was </w:t>
      </w:r>
      <w:r w:rsidR="006102E0">
        <w:rPr>
          <w:rFonts w:ascii="Times New Roman" w:hAnsi="Times New Roman" w:cs="Times New Roman"/>
        </w:rPr>
        <w:t xml:space="preserve">considered </w:t>
      </w:r>
      <w:r w:rsidR="00115A4C">
        <w:rPr>
          <w:rFonts w:ascii="Times New Roman" w:hAnsi="Times New Roman" w:cs="Times New Roman"/>
        </w:rPr>
        <w:t xml:space="preserve">necessary </w:t>
      </w:r>
      <w:r>
        <w:rPr>
          <w:rFonts w:ascii="Times New Roman" w:hAnsi="Times New Roman" w:cs="Times New Roman"/>
        </w:rPr>
        <w:t xml:space="preserve">in </w:t>
      </w:r>
      <w:r w:rsidR="004365E3" w:rsidRPr="006D53A1">
        <w:rPr>
          <w:rFonts w:ascii="Times New Roman" w:hAnsi="Times New Roman" w:cs="Times New Roman"/>
        </w:rPr>
        <w:t xml:space="preserve">Mr </w:t>
      </w:r>
      <w:proofErr w:type="spellStart"/>
      <w:r w:rsidR="004365E3" w:rsidRPr="006D53A1">
        <w:rPr>
          <w:rFonts w:ascii="Times New Roman" w:hAnsi="Times New Roman" w:cs="Times New Roman"/>
        </w:rPr>
        <w:t>Te</w:t>
      </w:r>
      <w:proofErr w:type="spellEnd"/>
      <w:r w:rsidR="004365E3" w:rsidRPr="006D53A1">
        <w:rPr>
          <w:rFonts w:ascii="Times New Roman" w:hAnsi="Times New Roman" w:cs="Times New Roman"/>
        </w:rPr>
        <w:t xml:space="preserve"> </w:t>
      </w:r>
      <w:proofErr w:type="spellStart"/>
      <w:r w:rsidR="004365E3" w:rsidRPr="006D53A1">
        <w:rPr>
          <w:rFonts w:ascii="Times New Roman" w:hAnsi="Times New Roman" w:cs="Times New Roman"/>
        </w:rPr>
        <w:t>Whatu</w:t>
      </w:r>
      <w:r w:rsidR="004365E3">
        <w:rPr>
          <w:rFonts w:ascii="Times New Roman" w:hAnsi="Times New Roman" w:cs="Times New Roman"/>
        </w:rPr>
        <w:t>’</w:t>
      </w:r>
      <w:r w:rsidR="006D53A1" w:rsidRPr="006D53A1">
        <w:rPr>
          <w:rFonts w:ascii="Times New Roman" w:hAnsi="Times New Roman" w:cs="Times New Roman"/>
        </w:rPr>
        <w:t>s</w:t>
      </w:r>
      <w:proofErr w:type="spellEnd"/>
      <w:r w:rsidR="006D53A1" w:rsidRPr="006D53A1">
        <w:rPr>
          <w:rFonts w:ascii="Times New Roman" w:hAnsi="Times New Roman" w:cs="Times New Roman"/>
        </w:rPr>
        <w:t xml:space="preserve"> </w:t>
      </w:r>
      <w:r>
        <w:rPr>
          <w:rFonts w:ascii="Times New Roman" w:hAnsi="Times New Roman" w:cs="Times New Roman"/>
        </w:rPr>
        <w:t xml:space="preserve">case because his </w:t>
      </w:r>
      <w:r w:rsidR="006D53A1" w:rsidRPr="006D53A1">
        <w:rPr>
          <w:rFonts w:ascii="Times New Roman" w:hAnsi="Times New Roman" w:cs="Times New Roman"/>
        </w:rPr>
        <w:t>mental health condition mean</w:t>
      </w:r>
      <w:r w:rsidR="004365E3">
        <w:rPr>
          <w:rFonts w:ascii="Times New Roman" w:hAnsi="Times New Roman" w:cs="Times New Roman"/>
        </w:rPr>
        <w:t>t</w:t>
      </w:r>
      <w:r w:rsidR="006D53A1" w:rsidRPr="006D53A1">
        <w:rPr>
          <w:rFonts w:ascii="Times New Roman" w:hAnsi="Times New Roman" w:cs="Times New Roman"/>
        </w:rPr>
        <w:t xml:space="preserve"> he </w:t>
      </w:r>
      <w:r w:rsidR="00115A4C">
        <w:rPr>
          <w:rFonts w:ascii="Times New Roman" w:hAnsi="Times New Roman" w:cs="Times New Roman"/>
        </w:rPr>
        <w:t>w</w:t>
      </w:r>
      <w:r w:rsidR="006D53A1" w:rsidRPr="006D53A1">
        <w:rPr>
          <w:rFonts w:ascii="Times New Roman" w:hAnsi="Times New Roman" w:cs="Times New Roman"/>
        </w:rPr>
        <w:t>a</w:t>
      </w:r>
      <w:r w:rsidR="00115A4C">
        <w:rPr>
          <w:rFonts w:ascii="Times New Roman" w:hAnsi="Times New Roman" w:cs="Times New Roman"/>
        </w:rPr>
        <w:t>s u</w:t>
      </w:r>
      <w:r w:rsidR="006D53A1" w:rsidRPr="006D53A1">
        <w:rPr>
          <w:rFonts w:ascii="Times New Roman" w:hAnsi="Times New Roman" w:cs="Times New Roman"/>
        </w:rPr>
        <w:t>n</w:t>
      </w:r>
      <w:r w:rsidR="00115A4C">
        <w:rPr>
          <w:rFonts w:ascii="Times New Roman" w:hAnsi="Times New Roman" w:cs="Times New Roman"/>
        </w:rPr>
        <w:t>able t</w:t>
      </w:r>
      <w:r w:rsidR="006D53A1" w:rsidRPr="006D53A1">
        <w:rPr>
          <w:rFonts w:ascii="Times New Roman" w:hAnsi="Times New Roman" w:cs="Times New Roman"/>
        </w:rPr>
        <w:t xml:space="preserve">o identify situations that put him at risk of offending and </w:t>
      </w:r>
      <w:r w:rsidR="00115A4C">
        <w:rPr>
          <w:rFonts w:ascii="Times New Roman" w:hAnsi="Times New Roman" w:cs="Times New Roman"/>
        </w:rPr>
        <w:t>he</w:t>
      </w:r>
      <w:r w:rsidR="006D53A1" w:rsidRPr="006D53A1">
        <w:rPr>
          <w:rFonts w:ascii="Times New Roman" w:hAnsi="Times New Roman" w:cs="Times New Roman"/>
        </w:rPr>
        <w:t xml:space="preserve"> d</w:t>
      </w:r>
      <w:r w:rsidR="004365E3">
        <w:rPr>
          <w:rFonts w:ascii="Times New Roman" w:hAnsi="Times New Roman" w:cs="Times New Roman"/>
        </w:rPr>
        <w:t>id</w:t>
      </w:r>
      <w:r w:rsidR="006D53A1" w:rsidRPr="006D53A1">
        <w:rPr>
          <w:rFonts w:ascii="Times New Roman" w:hAnsi="Times New Roman" w:cs="Times New Roman"/>
        </w:rPr>
        <w:t xml:space="preserve"> not avoid contact with children. H</w:t>
      </w:r>
      <w:r w:rsidR="00115A4C">
        <w:rPr>
          <w:rFonts w:ascii="Times New Roman" w:hAnsi="Times New Roman" w:cs="Times New Roman"/>
        </w:rPr>
        <w:t>is partner’s</w:t>
      </w:r>
      <w:r w:rsidR="006D53A1" w:rsidRPr="006D53A1">
        <w:rPr>
          <w:rFonts w:ascii="Times New Roman" w:hAnsi="Times New Roman" w:cs="Times New Roman"/>
        </w:rPr>
        <w:t xml:space="preserve"> neighbour </w:t>
      </w:r>
      <w:r w:rsidR="00115A4C">
        <w:rPr>
          <w:rFonts w:ascii="Times New Roman" w:hAnsi="Times New Roman" w:cs="Times New Roman"/>
        </w:rPr>
        <w:t xml:space="preserve">had </w:t>
      </w:r>
      <w:r w:rsidR="006D53A1" w:rsidRPr="006D53A1">
        <w:rPr>
          <w:rFonts w:ascii="Times New Roman" w:hAnsi="Times New Roman" w:cs="Times New Roman"/>
        </w:rPr>
        <w:t xml:space="preserve">told police they were concerned that the partner was grooming the neighbour’s 11 year-old daughter for sexual offending. This </w:t>
      </w:r>
      <w:r w:rsidR="00F65527">
        <w:rPr>
          <w:rFonts w:ascii="Times New Roman" w:hAnsi="Times New Roman" w:cs="Times New Roman"/>
        </w:rPr>
        <w:t>led to</w:t>
      </w:r>
      <w:r w:rsidR="006D53A1" w:rsidRPr="006D53A1">
        <w:rPr>
          <w:rFonts w:ascii="Times New Roman" w:hAnsi="Times New Roman" w:cs="Times New Roman"/>
        </w:rPr>
        <w:t xml:space="preserve"> the DOC </w:t>
      </w:r>
      <w:r w:rsidR="00115A4C">
        <w:rPr>
          <w:rFonts w:ascii="Times New Roman" w:hAnsi="Times New Roman" w:cs="Times New Roman"/>
        </w:rPr>
        <w:t>imposing a</w:t>
      </w:r>
      <w:r w:rsidR="006D53A1" w:rsidRPr="006D53A1">
        <w:rPr>
          <w:rFonts w:ascii="Times New Roman" w:hAnsi="Times New Roman" w:cs="Times New Roman"/>
        </w:rPr>
        <w:t xml:space="preserve"> blanket ban on </w:t>
      </w:r>
      <w:r>
        <w:rPr>
          <w:rFonts w:ascii="Times New Roman" w:hAnsi="Times New Roman" w:cs="Times New Roman"/>
        </w:rPr>
        <w:t xml:space="preserve">Mr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Whatu</w:t>
      </w:r>
      <w:proofErr w:type="spellEnd"/>
      <w:r>
        <w:rPr>
          <w:rFonts w:ascii="Times New Roman" w:hAnsi="Times New Roman" w:cs="Times New Roman"/>
        </w:rPr>
        <w:t xml:space="preserve"> having </w:t>
      </w:r>
      <w:r w:rsidR="006D53A1" w:rsidRPr="006D53A1">
        <w:rPr>
          <w:rFonts w:ascii="Times New Roman" w:hAnsi="Times New Roman" w:cs="Times New Roman"/>
        </w:rPr>
        <w:t xml:space="preserve">contact with </w:t>
      </w:r>
      <w:r>
        <w:rPr>
          <w:rFonts w:ascii="Times New Roman" w:hAnsi="Times New Roman" w:cs="Times New Roman"/>
        </w:rPr>
        <w:t>his</w:t>
      </w:r>
      <w:r w:rsidR="006D53A1" w:rsidRPr="006D53A1">
        <w:rPr>
          <w:rFonts w:ascii="Times New Roman" w:hAnsi="Times New Roman" w:cs="Times New Roman"/>
        </w:rPr>
        <w:t xml:space="preserve"> partner. On 29</w:t>
      </w:r>
      <w:r w:rsidR="006D53A1" w:rsidRPr="006D53A1">
        <w:rPr>
          <w:rFonts w:ascii="Times New Roman" w:hAnsi="Times New Roman" w:cs="Times New Roman"/>
          <w:vertAlign w:val="superscript"/>
        </w:rPr>
        <w:t>th</w:t>
      </w:r>
      <w:r w:rsidR="006D53A1" w:rsidRPr="006D53A1">
        <w:rPr>
          <w:rFonts w:ascii="Times New Roman" w:hAnsi="Times New Roman" w:cs="Times New Roman"/>
        </w:rPr>
        <w:t xml:space="preserve"> of March 2017, the Probation Officer </w:t>
      </w:r>
      <w:r w:rsidR="00F65527">
        <w:rPr>
          <w:rFonts w:ascii="Times New Roman" w:hAnsi="Times New Roman" w:cs="Times New Roman"/>
        </w:rPr>
        <w:t>asked</w:t>
      </w:r>
      <w:r w:rsidR="006D53A1" w:rsidRPr="006D53A1">
        <w:rPr>
          <w:rFonts w:ascii="Times New Roman" w:hAnsi="Times New Roman" w:cs="Times New Roman"/>
        </w:rPr>
        <w:t xml:space="preserve"> Mr </w:t>
      </w:r>
      <w:proofErr w:type="spellStart"/>
      <w:r w:rsidR="006D53A1" w:rsidRPr="006D53A1">
        <w:rPr>
          <w:rFonts w:ascii="Times New Roman" w:hAnsi="Times New Roman" w:cs="Times New Roman"/>
        </w:rPr>
        <w:t>Te</w:t>
      </w:r>
      <w:proofErr w:type="spellEnd"/>
      <w:r w:rsidR="006D53A1" w:rsidRPr="006D53A1">
        <w:rPr>
          <w:rFonts w:ascii="Times New Roman" w:hAnsi="Times New Roman" w:cs="Times New Roman"/>
        </w:rPr>
        <w:t xml:space="preserve"> </w:t>
      </w:r>
      <w:proofErr w:type="spellStart"/>
      <w:r w:rsidR="006D53A1" w:rsidRPr="006D53A1">
        <w:rPr>
          <w:rFonts w:ascii="Times New Roman" w:hAnsi="Times New Roman" w:cs="Times New Roman"/>
        </w:rPr>
        <w:t>Whatu</w:t>
      </w:r>
      <w:proofErr w:type="spellEnd"/>
      <w:r w:rsidR="006D53A1" w:rsidRPr="006D53A1">
        <w:rPr>
          <w:rFonts w:ascii="Times New Roman" w:hAnsi="Times New Roman" w:cs="Times New Roman"/>
        </w:rPr>
        <w:t xml:space="preserve"> t</w:t>
      </w:r>
      <w:r w:rsidR="00F65527">
        <w:rPr>
          <w:rFonts w:ascii="Times New Roman" w:hAnsi="Times New Roman" w:cs="Times New Roman"/>
        </w:rPr>
        <w:t xml:space="preserve">o sign </w:t>
      </w:r>
      <w:r w:rsidR="006D53A1" w:rsidRPr="006D53A1">
        <w:rPr>
          <w:rFonts w:ascii="Times New Roman" w:hAnsi="Times New Roman" w:cs="Times New Roman"/>
        </w:rPr>
        <w:t>t</w:t>
      </w:r>
      <w:r w:rsidR="00F65527">
        <w:rPr>
          <w:rFonts w:ascii="Times New Roman" w:hAnsi="Times New Roman" w:cs="Times New Roman"/>
        </w:rPr>
        <w:t>h</w:t>
      </w:r>
      <w:r w:rsidR="006D53A1" w:rsidRPr="006D53A1">
        <w:rPr>
          <w:rFonts w:ascii="Times New Roman" w:hAnsi="Times New Roman" w:cs="Times New Roman"/>
        </w:rPr>
        <w:t>e N</w:t>
      </w:r>
      <w:r w:rsidR="00115A4C">
        <w:rPr>
          <w:rFonts w:ascii="Times New Roman" w:hAnsi="Times New Roman" w:cs="Times New Roman"/>
        </w:rPr>
        <w:t>A</w:t>
      </w:r>
      <w:r w:rsidR="00C037E8">
        <w:rPr>
          <w:rFonts w:ascii="Times New Roman" w:hAnsi="Times New Roman" w:cs="Times New Roman"/>
        </w:rPr>
        <w:t>D</w:t>
      </w:r>
      <w:r w:rsidR="006A575A">
        <w:rPr>
          <w:rFonts w:ascii="Times New Roman" w:hAnsi="Times New Roman" w:cs="Times New Roman"/>
        </w:rPr>
        <w:t>. He</w:t>
      </w:r>
      <w:r w:rsidR="006D53A1" w:rsidRPr="006D53A1">
        <w:rPr>
          <w:rFonts w:ascii="Times New Roman" w:hAnsi="Times New Roman" w:cs="Times New Roman"/>
        </w:rPr>
        <w:t xml:space="preserve"> refused, </w:t>
      </w:r>
      <w:r w:rsidR="00F65527">
        <w:rPr>
          <w:rFonts w:ascii="Times New Roman" w:hAnsi="Times New Roman" w:cs="Times New Roman"/>
        </w:rPr>
        <w:t>a</w:t>
      </w:r>
      <w:r w:rsidR="006D53A1" w:rsidRPr="006D53A1">
        <w:rPr>
          <w:rFonts w:ascii="Times New Roman" w:hAnsi="Times New Roman" w:cs="Times New Roman"/>
        </w:rPr>
        <w:t>r</w:t>
      </w:r>
      <w:r w:rsidR="00F65527">
        <w:rPr>
          <w:rFonts w:ascii="Times New Roman" w:hAnsi="Times New Roman" w:cs="Times New Roman"/>
        </w:rPr>
        <w:t>guing</w:t>
      </w:r>
      <w:r w:rsidR="006D53A1" w:rsidRPr="006D53A1">
        <w:rPr>
          <w:rFonts w:ascii="Times New Roman" w:hAnsi="Times New Roman" w:cs="Times New Roman"/>
        </w:rPr>
        <w:t xml:space="preserve"> that the neighbour was lying. DOC’s own records show</w:t>
      </w:r>
      <w:r w:rsidR="006A575A">
        <w:rPr>
          <w:rFonts w:ascii="Times New Roman" w:hAnsi="Times New Roman" w:cs="Times New Roman"/>
        </w:rPr>
        <w:t>ed</w:t>
      </w:r>
      <w:r w:rsidR="006D53A1" w:rsidRPr="006D53A1">
        <w:rPr>
          <w:rFonts w:ascii="Times New Roman" w:hAnsi="Times New Roman" w:cs="Times New Roman"/>
        </w:rPr>
        <w:t xml:space="preserve"> that there was no </w:t>
      </w:r>
      <w:r w:rsidR="006A575A">
        <w:rPr>
          <w:rFonts w:ascii="Times New Roman" w:hAnsi="Times New Roman" w:cs="Times New Roman"/>
        </w:rPr>
        <w:t>e</w:t>
      </w:r>
      <w:r w:rsidR="006D53A1" w:rsidRPr="006D53A1">
        <w:rPr>
          <w:rFonts w:ascii="Times New Roman" w:hAnsi="Times New Roman" w:cs="Times New Roman"/>
        </w:rPr>
        <w:t>vidence</w:t>
      </w:r>
      <w:r w:rsidR="00F65527">
        <w:rPr>
          <w:rFonts w:ascii="Times New Roman" w:hAnsi="Times New Roman" w:cs="Times New Roman"/>
        </w:rPr>
        <w:t xml:space="preserve"> of what he was accused of and</w:t>
      </w:r>
      <w:r w:rsidR="006D53A1" w:rsidRPr="006D53A1">
        <w:rPr>
          <w:rFonts w:ascii="Times New Roman" w:hAnsi="Times New Roman" w:cs="Times New Roman"/>
        </w:rPr>
        <w:t xml:space="preserve"> the parole officer was</w:t>
      </w:r>
      <w:r w:rsidR="00115A4C">
        <w:rPr>
          <w:rFonts w:ascii="Times New Roman" w:hAnsi="Times New Roman" w:cs="Times New Roman"/>
        </w:rPr>
        <w:t xml:space="preserve"> simply </w:t>
      </w:r>
      <w:r w:rsidR="006D53A1" w:rsidRPr="006D53A1">
        <w:rPr>
          <w:rFonts w:ascii="Times New Roman" w:hAnsi="Times New Roman" w:cs="Times New Roman"/>
        </w:rPr>
        <w:t xml:space="preserve">proceeding on the basis </w:t>
      </w:r>
      <w:r w:rsidR="00115A4C">
        <w:rPr>
          <w:rFonts w:ascii="Times New Roman" w:hAnsi="Times New Roman" w:cs="Times New Roman"/>
        </w:rPr>
        <w:t>of a suspicion t</w:t>
      </w:r>
      <w:r w:rsidR="006D53A1" w:rsidRPr="006D53A1">
        <w:rPr>
          <w:rFonts w:ascii="Times New Roman" w:hAnsi="Times New Roman" w:cs="Times New Roman"/>
        </w:rPr>
        <w:t xml:space="preserve">hat </w:t>
      </w:r>
      <w:r w:rsidR="00F65527">
        <w:rPr>
          <w:rFonts w:ascii="Times New Roman" w:hAnsi="Times New Roman" w:cs="Times New Roman"/>
        </w:rPr>
        <w:t>he</w:t>
      </w:r>
      <w:r w:rsidR="006D53A1" w:rsidRPr="006D53A1">
        <w:rPr>
          <w:rFonts w:ascii="Times New Roman" w:hAnsi="Times New Roman" w:cs="Times New Roman"/>
        </w:rPr>
        <w:t xml:space="preserve"> had been in contact with children. </w:t>
      </w:r>
      <w:r w:rsidR="00F65527">
        <w:rPr>
          <w:rFonts w:ascii="Times New Roman" w:hAnsi="Times New Roman" w:cs="Times New Roman"/>
        </w:rPr>
        <w:t xml:space="preserve">The </w:t>
      </w:r>
      <w:r w:rsidR="00115A4C">
        <w:rPr>
          <w:rFonts w:ascii="Times New Roman" w:hAnsi="Times New Roman" w:cs="Times New Roman"/>
        </w:rPr>
        <w:t xml:space="preserve">reason </w:t>
      </w:r>
      <w:r w:rsidR="00F65527">
        <w:rPr>
          <w:rFonts w:ascii="Times New Roman" w:hAnsi="Times New Roman" w:cs="Times New Roman"/>
        </w:rPr>
        <w:t xml:space="preserve">for </w:t>
      </w:r>
      <w:r w:rsidR="006D53A1" w:rsidRPr="006D53A1">
        <w:rPr>
          <w:rFonts w:ascii="Times New Roman" w:hAnsi="Times New Roman" w:cs="Times New Roman"/>
        </w:rPr>
        <w:t xml:space="preserve">this </w:t>
      </w:r>
      <w:r w:rsidR="00F65527">
        <w:rPr>
          <w:rFonts w:ascii="Times New Roman" w:hAnsi="Times New Roman" w:cs="Times New Roman"/>
        </w:rPr>
        <w:t xml:space="preserve">was </w:t>
      </w:r>
      <w:r w:rsidR="006D53A1" w:rsidRPr="006D53A1">
        <w:rPr>
          <w:rFonts w:ascii="Times New Roman" w:hAnsi="Times New Roman" w:cs="Times New Roman"/>
        </w:rPr>
        <w:t>DOC</w:t>
      </w:r>
      <w:r w:rsidR="00F65527">
        <w:rPr>
          <w:rFonts w:ascii="Times New Roman" w:hAnsi="Times New Roman" w:cs="Times New Roman"/>
        </w:rPr>
        <w:t>’s</w:t>
      </w:r>
      <w:r w:rsidR="006D53A1" w:rsidRPr="006D53A1">
        <w:rPr>
          <w:rFonts w:ascii="Times New Roman" w:hAnsi="Times New Roman" w:cs="Times New Roman"/>
        </w:rPr>
        <w:t xml:space="preserve"> belief there was a factual similarity between one of Mr </w:t>
      </w:r>
      <w:proofErr w:type="spellStart"/>
      <w:r w:rsidR="006D53A1" w:rsidRPr="006D53A1">
        <w:rPr>
          <w:rFonts w:ascii="Times New Roman" w:hAnsi="Times New Roman" w:cs="Times New Roman"/>
        </w:rPr>
        <w:t>Te</w:t>
      </w:r>
      <w:proofErr w:type="spellEnd"/>
      <w:r w:rsidR="006D53A1" w:rsidRPr="006D53A1">
        <w:rPr>
          <w:rFonts w:ascii="Times New Roman" w:hAnsi="Times New Roman" w:cs="Times New Roman"/>
        </w:rPr>
        <w:t xml:space="preserve"> </w:t>
      </w:r>
      <w:proofErr w:type="spellStart"/>
      <w:r w:rsidR="006D53A1" w:rsidRPr="006D53A1">
        <w:rPr>
          <w:rFonts w:ascii="Times New Roman" w:hAnsi="Times New Roman" w:cs="Times New Roman"/>
        </w:rPr>
        <w:t>Whatu’s</w:t>
      </w:r>
      <w:proofErr w:type="spellEnd"/>
      <w:r w:rsidR="006D53A1" w:rsidRPr="006D53A1">
        <w:rPr>
          <w:rFonts w:ascii="Times New Roman" w:hAnsi="Times New Roman" w:cs="Times New Roman"/>
        </w:rPr>
        <w:t xml:space="preserve"> previous convictions and h</w:t>
      </w:r>
      <w:r w:rsidR="00115A4C">
        <w:rPr>
          <w:rFonts w:ascii="Times New Roman" w:hAnsi="Times New Roman" w:cs="Times New Roman"/>
        </w:rPr>
        <w:t>is</w:t>
      </w:r>
      <w:r w:rsidR="006D53A1" w:rsidRPr="006D53A1">
        <w:rPr>
          <w:rFonts w:ascii="Times New Roman" w:hAnsi="Times New Roman" w:cs="Times New Roman"/>
        </w:rPr>
        <w:t xml:space="preserve"> partner</w:t>
      </w:r>
      <w:r w:rsidR="00F65527">
        <w:rPr>
          <w:rFonts w:ascii="Times New Roman" w:hAnsi="Times New Roman" w:cs="Times New Roman"/>
        </w:rPr>
        <w:t>’s</w:t>
      </w:r>
      <w:r w:rsidR="006D53A1" w:rsidRPr="006D53A1">
        <w:rPr>
          <w:rFonts w:ascii="Times New Roman" w:hAnsi="Times New Roman" w:cs="Times New Roman"/>
        </w:rPr>
        <w:t xml:space="preserve"> </w:t>
      </w:r>
      <w:r w:rsidR="00F65527" w:rsidRPr="006D53A1">
        <w:rPr>
          <w:rFonts w:ascii="Times New Roman" w:hAnsi="Times New Roman" w:cs="Times New Roman"/>
        </w:rPr>
        <w:t xml:space="preserve">behaviour </w:t>
      </w:r>
      <w:r w:rsidR="006D53A1" w:rsidRPr="006D53A1">
        <w:rPr>
          <w:rFonts w:ascii="Times New Roman" w:hAnsi="Times New Roman" w:cs="Times New Roman"/>
        </w:rPr>
        <w:t>with the neighbour’s daughter.</w:t>
      </w:r>
      <w:r w:rsidR="00115A4C">
        <w:rPr>
          <w:rFonts w:ascii="Times New Roman" w:hAnsi="Times New Roman" w:cs="Times New Roman"/>
        </w:rPr>
        <w:t xml:space="preserve"> </w:t>
      </w:r>
      <w:r w:rsidR="006D53A1" w:rsidRPr="006D53A1">
        <w:rPr>
          <w:rFonts w:ascii="Times New Roman" w:hAnsi="Times New Roman" w:cs="Times New Roman"/>
        </w:rPr>
        <w:t>On 7</w:t>
      </w:r>
      <w:r w:rsidR="006D53A1" w:rsidRPr="006D53A1">
        <w:rPr>
          <w:rFonts w:ascii="Times New Roman" w:hAnsi="Times New Roman" w:cs="Times New Roman"/>
          <w:vertAlign w:val="superscript"/>
        </w:rPr>
        <w:t>th</w:t>
      </w:r>
      <w:r w:rsidR="006D53A1" w:rsidRPr="006D53A1">
        <w:rPr>
          <w:rFonts w:ascii="Times New Roman" w:hAnsi="Times New Roman" w:cs="Times New Roman"/>
        </w:rPr>
        <w:t xml:space="preserve"> June 2017, Mr </w:t>
      </w:r>
      <w:proofErr w:type="spellStart"/>
      <w:r w:rsidR="006D53A1" w:rsidRPr="006D53A1">
        <w:rPr>
          <w:rFonts w:ascii="Times New Roman" w:hAnsi="Times New Roman" w:cs="Times New Roman"/>
        </w:rPr>
        <w:t>Te</w:t>
      </w:r>
      <w:proofErr w:type="spellEnd"/>
      <w:r w:rsidR="006D53A1" w:rsidRPr="006D53A1">
        <w:rPr>
          <w:rFonts w:ascii="Times New Roman" w:hAnsi="Times New Roman" w:cs="Times New Roman"/>
        </w:rPr>
        <w:t xml:space="preserve"> </w:t>
      </w:r>
      <w:proofErr w:type="spellStart"/>
      <w:r w:rsidR="006D53A1" w:rsidRPr="006D53A1">
        <w:rPr>
          <w:rFonts w:ascii="Times New Roman" w:hAnsi="Times New Roman" w:cs="Times New Roman"/>
        </w:rPr>
        <w:t>Whatu</w:t>
      </w:r>
      <w:proofErr w:type="spellEnd"/>
      <w:r w:rsidR="006D53A1" w:rsidRPr="006D53A1">
        <w:rPr>
          <w:rFonts w:ascii="Times New Roman" w:hAnsi="Times New Roman" w:cs="Times New Roman"/>
        </w:rPr>
        <w:t xml:space="preserve"> stole $25.30 from a tip jar</w:t>
      </w:r>
      <w:r w:rsidR="00F65527">
        <w:rPr>
          <w:rFonts w:ascii="Times New Roman" w:hAnsi="Times New Roman" w:cs="Times New Roman"/>
        </w:rPr>
        <w:t xml:space="preserve"> and t</w:t>
      </w:r>
      <w:r w:rsidR="006D53A1" w:rsidRPr="006D53A1">
        <w:rPr>
          <w:rFonts w:ascii="Times New Roman" w:hAnsi="Times New Roman" w:cs="Times New Roman"/>
        </w:rPr>
        <w:t>he next day was arrested fo</w:t>
      </w:r>
      <w:r w:rsidR="00F65527">
        <w:rPr>
          <w:rFonts w:ascii="Times New Roman" w:hAnsi="Times New Roman" w:cs="Times New Roman"/>
        </w:rPr>
        <w:t>r</w:t>
      </w:r>
      <w:r w:rsidR="006D53A1" w:rsidRPr="006D53A1">
        <w:rPr>
          <w:rFonts w:ascii="Times New Roman" w:hAnsi="Times New Roman" w:cs="Times New Roman"/>
        </w:rPr>
        <w:t xml:space="preserve"> breaching the ND</w:t>
      </w:r>
      <w:r w:rsidR="00115A4C">
        <w:rPr>
          <w:rFonts w:ascii="Times New Roman" w:hAnsi="Times New Roman" w:cs="Times New Roman"/>
        </w:rPr>
        <w:t>A</w:t>
      </w:r>
      <w:r w:rsidR="006D53A1" w:rsidRPr="006D53A1">
        <w:rPr>
          <w:rFonts w:ascii="Times New Roman" w:hAnsi="Times New Roman" w:cs="Times New Roman"/>
        </w:rPr>
        <w:t xml:space="preserve">. He pleaded guilty and </w:t>
      </w:r>
      <w:r w:rsidR="00F65527">
        <w:rPr>
          <w:rFonts w:ascii="Times New Roman" w:hAnsi="Times New Roman" w:cs="Times New Roman"/>
        </w:rPr>
        <w:t>was</w:t>
      </w:r>
      <w:r w:rsidR="006D53A1" w:rsidRPr="006D53A1">
        <w:rPr>
          <w:rFonts w:ascii="Times New Roman" w:hAnsi="Times New Roman" w:cs="Times New Roman"/>
        </w:rPr>
        <w:t xml:space="preserve"> sentenced to 18 months’ imprisonment.</w:t>
      </w:r>
      <w:r w:rsidR="00F65527">
        <w:rPr>
          <w:rFonts w:ascii="Times New Roman" w:hAnsi="Times New Roman" w:cs="Times New Roman"/>
        </w:rPr>
        <w:t xml:space="preserve"> </w:t>
      </w:r>
      <w:r w:rsidR="006D53A1" w:rsidRPr="006D53A1">
        <w:rPr>
          <w:rFonts w:ascii="Times New Roman" w:hAnsi="Times New Roman" w:cs="Times New Roman"/>
        </w:rPr>
        <w:t xml:space="preserve">Mr </w:t>
      </w:r>
      <w:proofErr w:type="spellStart"/>
      <w:r w:rsidR="006D53A1" w:rsidRPr="006D53A1">
        <w:rPr>
          <w:rFonts w:ascii="Times New Roman" w:hAnsi="Times New Roman" w:cs="Times New Roman"/>
        </w:rPr>
        <w:t>Te</w:t>
      </w:r>
      <w:proofErr w:type="spellEnd"/>
      <w:r w:rsidR="006D53A1" w:rsidRPr="006D53A1">
        <w:rPr>
          <w:rFonts w:ascii="Times New Roman" w:hAnsi="Times New Roman" w:cs="Times New Roman"/>
        </w:rPr>
        <w:t xml:space="preserve"> </w:t>
      </w:r>
      <w:proofErr w:type="spellStart"/>
      <w:r w:rsidR="006D53A1" w:rsidRPr="006D53A1">
        <w:rPr>
          <w:rFonts w:ascii="Times New Roman" w:hAnsi="Times New Roman" w:cs="Times New Roman"/>
        </w:rPr>
        <w:t>Whatu</w:t>
      </w:r>
      <w:proofErr w:type="spellEnd"/>
      <w:r w:rsidR="006D53A1" w:rsidRPr="006D53A1">
        <w:rPr>
          <w:rFonts w:ascii="Times New Roman" w:hAnsi="Times New Roman" w:cs="Times New Roman"/>
        </w:rPr>
        <w:t xml:space="preserve"> appealed.</w:t>
      </w:r>
    </w:p>
    <w:p w:rsidR="00F85F0E" w:rsidRDefault="00F85F0E" w:rsidP="00F85F0E">
      <w:pPr>
        <w:spacing w:after="0" w:line="240" w:lineRule="auto"/>
        <w:jc w:val="both"/>
        <w:rPr>
          <w:rFonts w:ascii="Times New Roman" w:hAnsi="Times New Roman" w:cs="Times New Roman"/>
        </w:rPr>
      </w:pPr>
    </w:p>
    <w:p w:rsidR="006D53A1" w:rsidRPr="006D53A1" w:rsidRDefault="006D53A1" w:rsidP="00FE294D">
      <w:pPr>
        <w:spacing w:line="240" w:lineRule="auto"/>
        <w:jc w:val="both"/>
        <w:rPr>
          <w:rFonts w:ascii="Times New Roman" w:hAnsi="Times New Roman" w:cs="Times New Roman"/>
        </w:rPr>
      </w:pPr>
      <w:r w:rsidRPr="006D53A1">
        <w:rPr>
          <w:rFonts w:ascii="Times New Roman" w:hAnsi="Times New Roman" w:cs="Times New Roman"/>
        </w:rPr>
        <w:t>The first appeal before Palmer J was against the sentence</w:t>
      </w:r>
      <w:r w:rsidR="00115A4C">
        <w:rPr>
          <w:rFonts w:ascii="Times New Roman" w:hAnsi="Times New Roman" w:cs="Times New Roman"/>
        </w:rPr>
        <w:t xml:space="preserve"> when i</w:t>
      </w:r>
      <w:r w:rsidRPr="006D53A1">
        <w:rPr>
          <w:rFonts w:ascii="Times New Roman" w:hAnsi="Times New Roman" w:cs="Times New Roman"/>
        </w:rPr>
        <w:t xml:space="preserve">t became apparent his lawyer’s pre-trial advice </w:t>
      </w:r>
      <w:r w:rsidR="00F65527">
        <w:rPr>
          <w:rFonts w:ascii="Times New Roman" w:hAnsi="Times New Roman" w:cs="Times New Roman"/>
        </w:rPr>
        <w:t>had been</w:t>
      </w:r>
      <w:r w:rsidRPr="006D53A1">
        <w:rPr>
          <w:rFonts w:ascii="Times New Roman" w:hAnsi="Times New Roman" w:cs="Times New Roman"/>
        </w:rPr>
        <w:t xml:space="preserve"> given without her having s</w:t>
      </w:r>
      <w:r w:rsidR="0004502C">
        <w:rPr>
          <w:rFonts w:ascii="Times New Roman" w:hAnsi="Times New Roman" w:cs="Times New Roman"/>
        </w:rPr>
        <w:t>e</w:t>
      </w:r>
      <w:r w:rsidR="00F65527">
        <w:rPr>
          <w:rFonts w:ascii="Times New Roman" w:hAnsi="Times New Roman" w:cs="Times New Roman"/>
        </w:rPr>
        <w:t>e</w:t>
      </w:r>
      <w:r w:rsidR="0004502C">
        <w:rPr>
          <w:rFonts w:ascii="Times New Roman" w:hAnsi="Times New Roman" w:cs="Times New Roman"/>
        </w:rPr>
        <w:t>n</w:t>
      </w:r>
      <w:r w:rsidRPr="006D53A1">
        <w:rPr>
          <w:rFonts w:ascii="Times New Roman" w:hAnsi="Times New Roman" w:cs="Times New Roman"/>
        </w:rPr>
        <w:t xml:space="preserve"> the ESO. Had </w:t>
      </w:r>
      <w:r w:rsidR="0004502C">
        <w:rPr>
          <w:rFonts w:ascii="Times New Roman" w:hAnsi="Times New Roman" w:cs="Times New Roman"/>
        </w:rPr>
        <w:t>s</w:t>
      </w:r>
      <w:r w:rsidRPr="006D53A1">
        <w:rPr>
          <w:rFonts w:ascii="Times New Roman" w:hAnsi="Times New Roman" w:cs="Times New Roman"/>
        </w:rPr>
        <w:t>h</w:t>
      </w:r>
      <w:r w:rsidR="0004502C">
        <w:rPr>
          <w:rFonts w:ascii="Times New Roman" w:hAnsi="Times New Roman" w:cs="Times New Roman"/>
        </w:rPr>
        <w:t>e done</w:t>
      </w:r>
      <w:r w:rsidRPr="006D53A1">
        <w:rPr>
          <w:rFonts w:ascii="Times New Roman" w:hAnsi="Times New Roman" w:cs="Times New Roman"/>
        </w:rPr>
        <w:t xml:space="preserve"> s</w:t>
      </w:r>
      <w:r w:rsidR="0004502C">
        <w:rPr>
          <w:rFonts w:ascii="Times New Roman" w:hAnsi="Times New Roman" w:cs="Times New Roman"/>
        </w:rPr>
        <w:t>o</w:t>
      </w:r>
      <w:r w:rsidRPr="006D53A1">
        <w:rPr>
          <w:rFonts w:ascii="Times New Roman" w:hAnsi="Times New Roman" w:cs="Times New Roman"/>
        </w:rPr>
        <w:t xml:space="preserve">, she might have </w:t>
      </w:r>
      <w:r w:rsidR="00BE6C69">
        <w:rPr>
          <w:rFonts w:ascii="Times New Roman" w:hAnsi="Times New Roman" w:cs="Times New Roman"/>
        </w:rPr>
        <w:t>advised</w:t>
      </w:r>
      <w:r w:rsidRPr="006D53A1">
        <w:rPr>
          <w:rFonts w:ascii="Times New Roman" w:hAnsi="Times New Roman" w:cs="Times New Roman"/>
        </w:rPr>
        <w:t xml:space="preserve"> him different</w:t>
      </w:r>
      <w:r w:rsidR="00BE6C69">
        <w:rPr>
          <w:rFonts w:ascii="Times New Roman" w:hAnsi="Times New Roman" w:cs="Times New Roman"/>
        </w:rPr>
        <w:t>ly</w:t>
      </w:r>
      <w:r w:rsidR="0004502C">
        <w:rPr>
          <w:rFonts w:ascii="Times New Roman" w:hAnsi="Times New Roman" w:cs="Times New Roman"/>
        </w:rPr>
        <w:t>.</w:t>
      </w:r>
      <w:r w:rsidRPr="006D53A1">
        <w:rPr>
          <w:rFonts w:ascii="Times New Roman" w:hAnsi="Times New Roman" w:cs="Times New Roman"/>
        </w:rPr>
        <w:t xml:space="preserve"> She applied for leave to appeal Mr </w:t>
      </w:r>
      <w:proofErr w:type="spellStart"/>
      <w:r w:rsidRPr="006D53A1">
        <w:rPr>
          <w:rFonts w:ascii="Times New Roman" w:hAnsi="Times New Roman" w:cs="Times New Roman"/>
        </w:rPr>
        <w:t>Te</w:t>
      </w:r>
      <w:proofErr w:type="spellEnd"/>
      <w:r w:rsidRPr="006D53A1">
        <w:rPr>
          <w:rFonts w:ascii="Times New Roman" w:hAnsi="Times New Roman" w:cs="Times New Roman"/>
        </w:rPr>
        <w:t xml:space="preserve"> </w:t>
      </w:r>
      <w:proofErr w:type="spellStart"/>
      <w:r w:rsidRPr="006D53A1">
        <w:rPr>
          <w:rFonts w:ascii="Times New Roman" w:hAnsi="Times New Roman" w:cs="Times New Roman"/>
        </w:rPr>
        <w:t>Whatu’s</w:t>
      </w:r>
      <w:proofErr w:type="spellEnd"/>
      <w:r w:rsidRPr="006D53A1">
        <w:rPr>
          <w:rFonts w:ascii="Times New Roman" w:hAnsi="Times New Roman" w:cs="Times New Roman"/>
        </w:rPr>
        <w:t xml:space="preserve"> conviction out of time. Leave was granted under s 231 of the Criminal Procedure </w:t>
      </w:r>
      <w:r w:rsidR="00BE6C69">
        <w:rPr>
          <w:rFonts w:ascii="Times New Roman" w:hAnsi="Times New Roman" w:cs="Times New Roman"/>
        </w:rPr>
        <w:t xml:space="preserve">Act. Subsequently, </w:t>
      </w:r>
      <w:r w:rsidRPr="006D53A1">
        <w:rPr>
          <w:rFonts w:ascii="Times New Roman" w:hAnsi="Times New Roman" w:cs="Times New Roman"/>
        </w:rPr>
        <w:t xml:space="preserve">the Crown asked if the proceeding should be a judicial review as it concerned the Parole Officer exercising </w:t>
      </w:r>
      <w:r w:rsidR="00C037E8">
        <w:rPr>
          <w:rFonts w:ascii="Times New Roman" w:hAnsi="Times New Roman" w:cs="Times New Roman"/>
        </w:rPr>
        <w:t xml:space="preserve">a </w:t>
      </w:r>
      <w:r w:rsidRPr="006D53A1">
        <w:rPr>
          <w:rFonts w:ascii="Times New Roman" w:hAnsi="Times New Roman" w:cs="Times New Roman"/>
        </w:rPr>
        <w:t>statutory power</w:t>
      </w:r>
      <w:r w:rsidR="00BE6C69">
        <w:rPr>
          <w:rFonts w:ascii="Times New Roman" w:hAnsi="Times New Roman" w:cs="Times New Roman"/>
        </w:rPr>
        <w:t xml:space="preserve"> under the</w:t>
      </w:r>
      <w:r w:rsidRPr="006D53A1">
        <w:rPr>
          <w:rFonts w:ascii="Times New Roman" w:hAnsi="Times New Roman" w:cs="Times New Roman"/>
        </w:rPr>
        <w:t xml:space="preserve"> ESO. Mr </w:t>
      </w:r>
      <w:proofErr w:type="spellStart"/>
      <w:r w:rsidRPr="006D53A1">
        <w:rPr>
          <w:rFonts w:ascii="Times New Roman" w:hAnsi="Times New Roman" w:cs="Times New Roman"/>
        </w:rPr>
        <w:t>Te</w:t>
      </w:r>
      <w:proofErr w:type="spellEnd"/>
      <w:r w:rsidRPr="006D53A1">
        <w:rPr>
          <w:rFonts w:ascii="Times New Roman" w:hAnsi="Times New Roman" w:cs="Times New Roman"/>
        </w:rPr>
        <w:t xml:space="preserve"> </w:t>
      </w:r>
      <w:proofErr w:type="spellStart"/>
      <w:r w:rsidRPr="006D53A1">
        <w:rPr>
          <w:rFonts w:ascii="Times New Roman" w:hAnsi="Times New Roman" w:cs="Times New Roman"/>
        </w:rPr>
        <w:t>Whatu’s</w:t>
      </w:r>
      <w:proofErr w:type="spellEnd"/>
      <w:r w:rsidRPr="006D53A1">
        <w:rPr>
          <w:rFonts w:ascii="Times New Roman" w:hAnsi="Times New Roman" w:cs="Times New Roman"/>
        </w:rPr>
        <w:t xml:space="preserve"> counsel considered it should be an appeal against conviction and sentence, not judicial review. Justice Palmer confirmed that the proceeding </w:t>
      </w:r>
      <w:r w:rsidR="0004502C">
        <w:rPr>
          <w:rFonts w:ascii="Times New Roman" w:hAnsi="Times New Roman" w:cs="Times New Roman"/>
        </w:rPr>
        <w:t>wa</w:t>
      </w:r>
      <w:r w:rsidRPr="006D53A1">
        <w:rPr>
          <w:rFonts w:ascii="Times New Roman" w:hAnsi="Times New Roman" w:cs="Times New Roman"/>
        </w:rPr>
        <w:t xml:space="preserve">s an appeal </w:t>
      </w:r>
      <w:r w:rsidR="00A375CB">
        <w:rPr>
          <w:rFonts w:ascii="Times New Roman" w:hAnsi="Times New Roman" w:cs="Times New Roman"/>
        </w:rPr>
        <w:t>but</w:t>
      </w:r>
      <w:r w:rsidRPr="006D53A1">
        <w:rPr>
          <w:rFonts w:ascii="Times New Roman" w:hAnsi="Times New Roman" w:cs="Times New Roman"/>
        </w:rPr>
        <w:t xml:space="preserve"> could </w:t>
      </w:r>
      <w:r w:rsidR="006A575A">
        <w:rPr>
          <w:rFonts w:ascii="Times New Roman" w:hAnsi="Times New Roman" w:cs="Times New Roman"/>
        </w:rPr>
        <w:t xml:space="preserve">also </w:t>
      </w:r>
      <w:r w:rsidRPr="006D53A1">
        <w:rPr>
          <w:rFonts w:ascii="Times New Roman" w:hAnsi="Times New Roman" w:cs="Times New Roman"/>
        </w:rPr>
        <w:t>be the subject of a judicial review.</w:t>
      </w:r>
    </w:p>
    <w:p w:rsidR="006D53A1" w:rsidRPr="006D53A1" w:rsidRDefault="006D53A1" w:rsidP="00FE294D">
      <w:pPr>
        <w:spacing w:line="240" w:lineRule="auto"/>
        <w:jc w:val="both"/>
        <w:rPr>
          <w:rFonts w:ascii="Times New Roman" w:hAnsi="Times New Roman" w:cs="Times New Roman"/>
        </w:rPr>
      </w:pPr>
      <w:r w:rsidRPr="006D53A1">
        <w:rPr>
          <w:rFonts w:ascii="Times New Roman" w:hAnsi="Times New Roman" w:cs="Times New Roman"/>
        </w:rPr>
        <w:t xml:space="preserve">Under </w:t>
      </w:r>
      <w:r w:rsidR="0004502C" w:rsidRPr="006D53A1">
        <w:rPr>
          <w:rFonts w:ascii="Times New Roman" w:hAnsi="Times New Roman" w:cs="Times New Roman"/>
        </w:rPr>
        <w:t>s 229</w:t>
      </w:r>
      <w:r w:rsidR="0004502C">
        <w:rPr>
          <w:rFonts w:ascii="Times New Roman" w:hAnsi="Times New Roman" w:cs="Times New Roman"/>
        </w:rPr>
        <w:t xml:space="preserve"> of</w:t>
      </w:r>
      <w:r w:rsidR="0004502C" w:rsidRPr="006D53A1">
        <w:rPr>
          <w:rFonts w:ascii="Times New Roman" w:hAnsi="Times New Roman" w:cs="Times New Roman"/>
        </w:rPr>
        <w:t xml:space="preserve"> </w:t>
      </w:r>
      <w:r w:rsidRPr="006D53A1">
        <w:rPr>
          <w:rFonts w:ascii="Times New Roman" w:hAnsi="Times New Roman" w:cs="Times New Roman"/>
        </w:rPr>
        <w:t xml:space="preserve">the Criminal Procedure Act 2011 a person convicted of an offence </w:t>
      </w:r>
      <w:r w:rsidR="006A575A">
        <w:rPr>
          <w:rFonts w:ascii="Times New Roman" w:hAnsi="Times New Roman" w:cs="Times New Roman"/>
        </w:rPr>
        <w:t>can</w:t>
      </w:r>
      <w:r w:rsidRPr="006D53A1">
        <w:rPr>
          <w:rFonts w:ascii="Times New Roman" w:hAnsi="Times New Roman" w:cs="Times New Roman"/>
        </w:rPr>
        <w:t xml:space="preserve"> appeal against the conviction. </w:t>
      </w:r>
      <w:r w:rsidR="0004502C">
        <w:rPr>
          <w:rFonts w:ascii="Times New Roman" w:hAnsi="Times New Roman" w:cs="Times New Roman"/>
        </w:rPr>
        <w:t>T</w:t>
      </w:r>
      <w:r w:rsidRPr="006D53A1">
        <w:rPr>
          <w:rFonts w:ascii="Times New Roman" w:hAnsi="Times New Roman" w:cs="Times New Roman"/>
        </w:rPr>
        <w:t>he appeal must be allowed if the court is satisfied a miscarriage of justice has occurred</w:t>
      </w:r>
      <w:r w:rsidR="0004502C">
        <w:rPr>
          <w:rStyle w:val="FootnoteReference"/>
          <w:rFonts w:ascii="Times New Roman" w:hAnsi="Times New Roman" w:cs="Times New Roman"/>
        </w:rPr>
        <w:footnoteReference w:id="18"/>
      </w:r>
      <w:r w:rsidRPr="006D53A1">
        <w:rPr>
          <w:rFonts w:ascii="Times New Roman" w:hAnsi="Times New Roman" w:cs="Times New Roman"/>
        </w:rPr>
        <w:t xml:space="preserve">. </w:t>
      </w:r>
      <w:r w:rsidR="002B5716">
        <w:rPr>
          <w:rFonts w:ascii="Times New Roman" w:hAnsi="Times New Roman" w:cs="Times New Roman"/>
        </w:rPr>
        <w:t>A</w:t>
      </w:r>
      <w:r w:rsidRPr="006D53A1">
        <w:rPr>
          <w:rFonts w:ascii="Times New Roman" w:hAnsi="Times New Roman" w:cs="Times New Roman"/>
        </w:rPr>
        <w:t xml:space="preserve"> miscarriage of justice </w:t>
      </w:r>
      <w:r w:rsidR="002B5716">
        <w:rPr>
          <w:rFonts w:ascii="Times New Roman" w:hAnsi="Times New Roman" w:cs="Times New Roman"/>
        </w:rPr>
        <w:t>may be</w:t>
      </w:r>
      <w:r w:rsidR="00676A5C">
        <w:rPr>
          <w:rFonts w:ascii="Times New Roman" w:hAnsi="Times New Roman" w:cs="Times New Roman"/>
        </w:rPr>
        <w:t xml:space="preserve"> said to have </w:t>
      </w:r>
      <w:r w:rsidRPr="006D53A1">
        <w:rPr>
          <w:rFonts w:ascii="Times New Roman" w:hAnsi="Times New Roman" w:cs="Times New Roman"/>
        </w:rPr>
        <w:t>occur</w:t>
      </w:r>
      <w:r w:rsidR="00676A5C">
        <w:rPr>
          <w:rFonts w:ascii="Times New Roman" w:hAnsi="Times New Roman" w:cs="Times New Roman"/>
        </w:rPr>
        <w:t>red</w:t>
      </w:r>
      <w:r w:rsidRPr="006D53A1">
        <w:rPr>
          <w:rFonts w:ascii="Times New Roman" w:hAnsi="Times New Roman" w:cs="Times New Roman"/>
        </w:rPr>
        <w:t xml:space="preserve"> whe</w:t>
      </w:r>
      <w:r w:rsidR="002B5716">
        <w:rPr>
          <w:rFonts w:ascii="Times New Roman" w:hAnsi="Times New Roman" w:cs="Times New Roman"/>
        </w:rPr>
        <w:t>n</w:t>
      </w:r>
      <w:r w:rsidRPr="006D53A1">
        <w:rPr>
          <w:rFonts w:ascii="Times New Roman" w:hAnsi="Times New Roman" w:cs="Times New Roman"/>
        </w:rPr>
        <w:t xml:space="preserve"> trial counsel has erred in their advice to an accused and there </w:t>
      </w:r>
      <w:r w:rsidR="006A575A">
        <w:rPr>
          <w:rFonts w:ascii="Times New Roman" w:hAnsi="Times New Roman" w:cs="Times New Roman"/>
        </w:rPr>
        <w:t>wa</w:t>
      </w:r>
      <w:r w:rsidRPr="006D53A1">
        <w:rPr>
          <w:rFonts w:ascii="Times New Roman" w:hAnsi="Times New Roman" w:cs="Times New Roman"/>
        </w:rPr>
        <w:t>s a real risk it affected the outcome.</w:t>
      </w:r>
      <w:r w:rsidRPr="006D53A1">
        <w:rPr>
          <w:rStyle w:val="FootnoteReference"/>
          <w:rFonts w:ascii="Times New Roman" w:hAnsi="Times New Roman" w:cs="Times New Roman"/>
        </w:rPr>
        <w:footnoteReference w:id="19"/>
      </w:r>
      <w:r w:rsidRPr="006D53A1">
        <w:rPr>
          <w:rStyle w:val="FootnoteReference"/>
          <w:rFonts w:ascii="Times New Roman" w:hAnsi="Times New Roman" w:cs="Times New Roman"/>
        </w:rPr>
        <w:t xml:space="preserve"> </w:t>
      </w:r>
      <w:r w:rsidRPr="006D53A1">
        <w:rPr>
          <w:rFonts w:ascii="Times New Roman" w:hAnsi="Times New Roman" w:cs="Times New Roman"/>
        </w:rPr>
        <w:t xml:space="preserve">Mr </w:t>
      </w:r>
      <w:proofErr w:type="spellStart"/>
      <w:r w:rsidRPr="006D53A1">
        <w:rPr>
          <w:rFonts w:ascii="Times New Roman" w:hAnsi="Times New Roman" w:cs="Times New Roman"/>
        </w:rPr>
        <w:t>Te</w:t>
      </w:r>
      <w:proofErr w:type="spellEnd"/>
      <w:r w:rsidRPr="006D53A1">
        <w:rPr>
          <w:rFonts w:ascii="Times New Roman" w:hAnsi="Times New Roman" w:cs="Times New Roman"/>
        </w:rPr>
        <w:t xml:space="preserve"> </w:t>
      </w:r>
      <w:proofErr w:type="spellStart"/>
      <w:r w:rsidRPr="006D53A1">
        <w:rPr>
          <w:rFonts w:ascii="Times New Roman" w:hAnsi="Times New Roman" w:cs="Times New Roman"/>
        </w:rPr>
        <w:t>Whatu</w:t>
      </w:r>
      <w:proofErr w:type="spellEnd"/>
      <w:r w:rsidR="00676A5C">
        <w:rPr>
          <w:rFonts w:ascii="Times New Roman" w:hAnsi="Times New Roman" w:cs="Times New Roman"/>
        </w:rPr>
        <w:t xml:space="preserve"> </w:t>
      </w:r>
      <w:r w:rsidR="00C36D0B">
        <w:rPr>
          <w:rFonts w:ascii="Times New Roman" w:hAnsi="Times New Roman" w:cs="Times New Roman"/>
        </w:rPr>
        <w:t>cl</w:t>
      </w:r>
      <w:r w:rsidR="00676A5C">
        <w:rPr>
          <w:rFonts w:ascii="Times New Roman" w:hAnsi="Times New Roman" w:cs="Times New Roman"/>
        </w:rPr>
        <w:t>a</w:t>
      </w:r>
      <w:r w:rsidR="00C36D0B">
        <w:rPr>
          <w:rFonts w:ascii="Times New Roman" w:hAnsi="Times New Roman" w:cs="Times New Roman"/>
        </w:rPr>
        <w:t>im</w:t>
      </w:r>
      <w:r w:rsidR="00676A5C">
        <w:rPr>
          <w:rFonts w:ascii="Times New Roman" w:hAnsi="Times New Roman" w:cs="Times New Roman"/>
        </w:rPr>
        <w:t xml:space="preserve">ed </w:t>
      </w:r>
      <w:r w:rsidRPr="006D53A1">
        <w:rPr>
          <w:rFonts w:ascii="Times New Roman" w:hAnsi="Times New Roman" w:cs="Times New Roman"/>
        </w:rPr>
        <w:t>a miscarriage of justice because</w:t>
      </w:r>
      <w:r w:rsidR="00676A5C">
        <w:rPr>
          <w:rFonts w:ascii="Times New Roman" w:hAnsi="Times New Roman" w:cs="Times New Roman"/>
        </w:rPr>
        <w:t xml:space="preserve"> his lawyer</w:t>
      </w:r>
      <w:r w:rsidR="00676A5C">
        <w:t xml:space="preserve"> </w:t>
      </w:r>
      <w:r w:rsidR="002B5716" w:rsidRPr="006D53A1">
        <w:rPr>
          <w:rFonts w:ascii="Times New Roman" w:hAnsi="Times New Roman" w:cs="Times New Roman"/>
        </w:rPr>
        <w:t xml:space="preserve">had not considered </w:t>
      </w:r>
      <w:r w:rsidR="002B5716">
        <w:rPr>
          <w:rFonts w:ascii="Times New Roman" w:hAnsi="Times New Roman" w:cs="Times New Roman"/>
        </w:rPr>
        <w:t xml:space="preserve">the </w:t>
      </w:r>
      <w:r w:rsidR="002B5716" w:rsidRPr="006D53A1">
        <w:rPr>
          <w:rFonts w:ascii="Times New Roman" w:hAnsi="Times New Roman" w:cs="Times New Roman"/>
        </w:rPr>
        <w:t xml:space="preserve">NZBORA when </w:t>
      </w:r>
      <w:r w:rsidR="002B5716">
        <w:rPr>
          <w:rFonts w:ascii="Times New Roman" w:hAnsi="Times New Roman" w:cs="Times New Roman"/>
        </w:rPr>
        <w:t>provid</w:t>
      </w:r>
      <w:r w:rsidR="002B5716" w:rsidRPr="006D53A1">
        <w:rPr>
          <w:rFonts w:ascii="Times New Roman" w:hAnsi="Times New Roman" w:cs="Times New Roman"/>
        </w:rPr>
        <w:t>ing advice</w:t>
      </w:r>
      <w:r w:rsidR="002B5716">
        <w:rPr>
          <w:rFonts w:ascii="Times New Roman" w:hAnsi="Times New Roman" w:cs="Times New Roman"/>
        </w:rPr>
        <w:t xml:space="preserve"> as she</w:t>
      </w:r>
      <w:r w:rsidR="002B5716" w:rsidRPr="006D53A1">
        <w:rPr>
          <w:rFonts w:ascii="Times New Roman" w:hAnsi="Times New Roman" w:cs="Times New Roman"/>
        </w:rPr>
        <w:t xml:space="preserve"> </w:t>
      </w:r>
      <w:r w:rsidR="006A575A" w:rsidRPr="006D53A1">
        <w:rPr>
          <w:rFonts w:ascii="Times New Roman" w:hAnsi="Times New Roman" w:cs="Times New Roman"/>
        </w:rPr>
        <w:t>did not have a copy of the N</w:t>
      </w:r>
      <w:r w:rsidR="006A575A">
        <w:rPr>
          <w:rFonts w:ascii="Times New Roman" w:hAnsi="Times New Roman" w:cs="Times New Roman"/>
        </w:rPr>
        <w:t>AD</w:t>
      </w:r>
      <w:r w:rsidR="00676A5C">
        <w:rPr>
          <w:rFonts w:ascii="Times New Roman" w:hAnsi="Times New Roman" w:cs="Times New Roman"/>
        </w:rPr>
        <w:t xml:space="preserve">. </w:t>
      </w:r>
      <w:r w:rsidR="002B5716">
        <w:rPr>
          <w:rFonts w:ascii="Times New Roman" w:hAnsi="Times New Roman" w:cs="Times New Roman"/>
        </w:rPr>
        <w:t>Also</w:t>
      </w:r>
      <w:r w:rsidR="00676A5C">
        <w:rPr>
          <w:rFonts w:ascii="Times New Roman" w:hAnsi="Times New Roman" w:cs="Times New Roman"/>
        </w:rPr>
        <w:t xml:space="preserve"> t</w:t>
      </w:r>
      <w:r w:rsidRPr="006D53A1">
        <w:rPr>
          <w:rFonts w:ascii="Times New Roman" w:hAnsi="Times New Roman" w:cs="Times New Roman"/>
        </w:rPr>
        <w:t xml:space="preserve">he Parole Officer’s concerns </w:t>
      </w:r>
      <w:r w:rsidR="006A575A">
        <w:rPr>
          <w:rFonts w:ascii="Times New Roman" w:hAnsi="Times New Roman" w:cs="Times New Roman"/>
        </w:rPr>
        <w:t xml:space="preserve">could </w:t>
      </w:r>
      <w:r w:rsidRPr="006D53A1">
        <w:rPr>
          <w:rFonts w:ascii="Times New Roman" w:hAnsi="Times New Roman" w:cs="Times New Roman"/>
        </w:rPr>
        <w:t xml:space="preserve">not </w:t>
      </w:r>
      <w:r w:rsidR="006A575A">
        <w:rPr>
          <w:rFonts w:ascii="Times New Roman" w:hAnsi="Times New Roman" w:cs="Times New Roman"/>
        </w:rPr>
        <w:t xml:space="preserve">be </w:t>
      </w:r>
      <w:r w:rsidRPr="006D53A1">
        <w:rPr>
          <w:rFonts w:ascii="Times New Roman" w:hAnsi="Times New Roman" w:cs="Times New Roman"/>
        </w:rPr>
        <w:t>substantiated a</w:t>
      </w:r>
      <w:r w:rsidR="00C36D0B">
        <w:rPr>
          <w:rFonts w:ascii="Times New Roman" w:hAnsi="Times New Roman" w:cs="Times New Roman"/>
        </w:rPr>
        <w:t>s</w:t>
      </w:r>
      <w:r w:rsidRPr="006D53A1">
        <w:rPr>
          <w:rFonts w:ascii="Times New Roman" w:hAnsi="Times New Roman" w:cs="Times New Roman"/>
        </w:rPr>
        <w:t xml:space="preserve"> the neighbour’s suspicion</w:t>
      </w:r>
      <w:r w:rsidR="00676A5C">
        <w:rPr>
          <w:rFonts w:ascii="Times New Roman" w:hAnsi="Times New Roman" w:cs="Times New Roman"/>
        </w:rPr>
        <w:t>s</w:t>
      </w:r>
      <w:r w:rsidRPr="006D53A1">
        <w:rPr>
          <w:rFonts w:ascii="Times New Roman" w:hAnsi="Times New Roman" w:cs="Times New Roman"/>
        </w:rPr>
        <w:t xml:space="preserve"> had not been </w:t>
      </w:r>
      <w:r w:rsidR="00F85F0E">
        <w:rPr>
          <w:rFonts w:ascii="Times New Roman" w:hAnsi="Times New Roman" w:cs="Times New Roman"/>
        </w:rPr>
        <w:t>pursued</w:t>
      </w:r>
      <w:r w:rsidR="00676A5C">
        <w:rPr>
          <w:rFonts w:ascii="Times New Roman" w:hAnsi="Times New Roman" w:cs="Times New Roman"/>
        </w:rPr>
        <w:t xml:space="preserve">. </w:t>
      </w:r>
      <w:r w:rsidRPr="006D53A1">
        <w:rPr>
          <w:rFonts w:ascii="Times New Roman" w:hAnsi="Times New Roman" w:cs="Times New Roman"/>
        </w:rPr>
        <w:t xml:space="preserve">Since there had been no further sexual offending by Mr </w:t>
      </w:r>
      <w:proofErr w:type="spellStart"/>
      <w:r w:rsidRPr="006D53A1">
        <w:rPr>
          <w:rFonts w:ascii="Times New Roman" w:hAnsi="Times New Roman" w:cs="Times New Roman"/>
        </w:rPr>
        <w:t>Te</w:t>
      </w:r>
      <w:proofErr w:type="spellEnd"/>
      <w:r w:rsidRPr="006D53A1">
        <w:rPr>
          <w:rFonts w:ascii="Times New Roman" w:hAnsi="Times New Roman" w:cs="Times New Roman"/>
        </w:rPr>
        <w:t xml:space="preserve"> </w:t>
      </w:r>
      <w:proofErr w:type="spellStart"/>
      <w:r w:rsidRPr="006D53A1">
        <w:rPr>
          <w:rFonts w:ascii="Times New Roman" w:hAnsi="Times New Roman" w:cs="Times New Roman"/>
        </w:rPr>
        <w:t>Whatu</w:t>
      </w:r>
      <w:proofErr w:type="spellEnd"/>
      <w:r w:rsidRPr="006D53A1">
        <w:rPr>
          <w:rFonts w:ascii="Times New Roman" w:hAnsi="Times New Roman" w:cs="Times New Roman"/>
        </w:rPr>
        <w:t xml:space="preserve">, </w:t>
      </w:r>
      <w:r w:rsidR="00676A5C">
        <w:rPr>
          <w:rFonts w:ascii="Times New Roman" w:hAnsi="Times New Roman" w:cs="Times New Roman"/>
        </w:rPr>
        <w:t>t</w:t>
      </w:r>
      <w:r w:rsidRPr="006D53A1">
        <w:rPr>
          <w:rFonts w:ascii="Times New Roman" w:hAnsi="Times New Roman" w:cs="Times New Roman"/>
        </w:rPr>
        <w:t xml:space="preserve">he ‘high risk’ assessment </w:t>
      </w:r>
      <w:r w:rsidR="00676A5C">
        <w:rPr>
          <w:rFonts w:ascii="Times New Roman" w:hAnsi="Times New Roman" w:cs="Times New Roman"/>
        </w:rPr>
        <w:t>was inappropriate and a</w:t>
      </w:r>
      <w:r w:rsidRPr="006D53A1">
        <w:rPr>
          <w:rFonts w:ascii="Times New Roman" w:hAnsi="Times New Roman" w:cs="Times New Roman"/>
        </w:rPr>
        <w:t xml:space="preserve"> less restrictive direction </w:t>
      </w:r>
      <w:r w:rsidR="00C36D0B">
        <w:rPr>
          <w:rFonts w:ascii="Times New Roman" w:hAnsi="Times New Roman" w:cs="Times New Roman"/>
        </w:rPr>
        <w:t>c</w:t>
      </w:r>
      <w:r w:rsidRPr="006D53A1">
        <w:rPr>
          <w:rFonts w:ascii="Times New Roman" w:hAnsi="Times New Roman" w:cs="Times New Roman"/>
        </w:rPr>
        <w:t>ould have achieved the same objective of protecting children.</w:t>
      </w:r>
      <w:r w:rsidR="00676A5C">
        <w:rPr>
          <w:rFonts w:ascii="Times New Roman" w:hAnsi="Times New Roman" w:cs="Times New Roman"/>
        </w:rPr>
        <w:t xml:space="preserve"> </w:t>
      </w:r>
      <w:r w:rsidRPr="006D53A1">
        <w:rPr>
          <w:rFonts w:ascii="Times New Roman" w:hAnsi="Times New Roman" w:cs="Times New Roman"/>
        </w:rPr>
        <w:t xml:space="preserve">The conviction for breach of the ESO was unsafe because the NAD is itself a breach of s 17 NZBORA </w:t>
      </w:r>
      <w:r w:rsidR="00676A5C">
        <w:rPr>
          <w:rFonts w:ascii="Times New Roman" w:hAnsi="Times New Roman" w:cs="Times New Roman"/>
        </w:rPr>
        <w:t>and therefore unlawful.</w:t>
      </w:r>
      <w:r w:rsidR="002B5716">
        <w:rPr>
          <w:rFonts w:ascii="Times New Roman" w:hAnsi="Times New Roman" w:cs="Times New Roman"/>
        </w:rPr>
        <w:t xml:space="preserve"> </w:t>
      </w:r>
      <w:r w:rsidR="00676A5C">
        <w:rPr>
          <w:rFonts w:ascii="Times New Roman" w:hAnsi="Times New Roman" w:cs="Times New Roman"/>
        </w:rPr>
        <w:t>T</w:t>
      </w:r>
      <w:r w:rsidRPr="006D53A1">
        <w:rPr>
          <w:rFonts w:ascii="Times New Roman" w:hAnsi="Times New Roman" w:cs="Times New Roman"/>
        </w:rPr>
        <w:t>he Crown</w:t>
      </w:r>
      <w:r w:rsidR="00676A5C">
        <w:rPr>
          <w:rFonts w:ascii="Times New Roman" w:hAnsi="Times New Roman" w:cs="Times New Roman"/>
        </w:rPr>
        <w:t xml:space="preserve"> </w:t>
      </w:r>
      <w:r w:rsidR="002B5716">
        <w:rPr>
          <w:rFonts w:ascii="Times New Roman" w:hAnsi="Times New Roman" w:cs="Times New Roman"/>
        </w:rPr>
        <w:t xml:space="preserve">countered this by </w:t>
      </w:r>
      <w:r w:rsidR="00676A5C">
        <w:rPr>
          <w:rFonts w:ascii="Times New Roman" w:hAnsi="Times New Roman" w:cs="Times New Roman"/>
        </w:rPr>
        <w:t>argu</w:t>
      </w:r>
      <w:r w:rsidR="002B5716">
        <w:rPr>
          <w:rFonts w:ascii="Times New Roman" w:hAnsi="Times New Roman" w:cs="Times New Roman"/>
        </w:rPr>
        <w:t>ing</w:t>
      </w:r>
      <w:r w:rsidR="00676A5C">
        <w:rPr>
          <w:rFonts w:ascii="Times New Roman" w:hAnsi="Times New Roman" w:cs="Times New Roman"/>
        </w:rPr>
        <w:t xml:space="preserve"> t</w:t>
      </w:r>
      <w:r w:rsidRPr="006D53A1">
        <w:rPr>
          <w:rFonts w:ascii="Times New Roman" w:hAnsi="Times New Roman" w:cs="Times New Roman"/>
        </w:rPr>
        <w:t xml:space="preserve">he risks were unacceptably high and </w:t>
      </w:r>
      <w:r w:rsidR="002B5716">
        <w:rPr>
          <w:rFonts w:ascii="Times New Roman" w:hAnsi="Times New Roman" w:cs="Times New Roman"/>
        </w:rPr>
        <w:t>militated</w:t>
      </w:r>
      <w:r w:rsidRPr="006D53A1">
        <w:rPr>
          <w:rFonts w:ascii="Times New Roman" w:hAnsi="Times New Roman" w:cs="Times New Roman"/>
        </w:rPr>
        <w:t xml:space="preserve"> against allowing Mr </w:t>
      </w:r>
      <w:proofErr w:type="spellStart"/>
      <w:r w:rsidRPr="006D53A1">
        <w:rPr>
          <w:rFonts w:ascii="Times New Roman" w:hAnsi="Times New Roman" w:cs="Times New Roman"/>
        </w:rPr>
        <w:t>Te</w:t>
      </w:r>
      <w:proofErr w:type="spellEnd"/>
      <w:r w:rsidRPr="006D53A1">
        <w:rPr>
          <w:rFonts w:ascii="Times New Roman" w:hAnsi="Times New Roman" w:cs="Times New Roman"/>
        </w:rPr>
        <w:t xml:space="preserve"> </w:t>
      </w:r>
      <w:proofErr w:type="spellStart"/>
      <w:r w:rsidRPr="006D53A1">
        <w:rPr>
          <w:rFonts w:ascii="Times New Roman" w:hAnsi="Times New Roman" w:cs="Times New Roman"/>
        </w:rPr>
        <w:t>Whatu</w:t>
      </w:r>
      <w:proofErr w:type="spellEnd"/>
      <w:r w:rsidRPr="006D53A1">
        <w:rPr>
          <w:rFonts w:ascii="Times New Roman" w:hAnsi="Times New Roman" w:cs="Times New Roman"/>
        </w:rPr>
        <w:t xml:space="preserve"> to continue associating with his partner. </w:t>
      </w:r>
      <w:r w:rsidR="006A575A">
        <w:rPr>
          <w:rFonts w:ascii="Times New Roman" w:hAnsi="Times New Roman" w:cs="Times New Roman"/>
        </w:rPr>
        <w:t>It followed that</w:t>
      </w:r>
      <w:r w:rsidRPr="006D53A1">
        <w:rPr>
          <w:rFonts w:ascii="Times New Roman" w:hAnsi="Times New Roman" w:cs="Times New Roman"/>
        </w:rPr>
        <w:t xml:space="preserve"> the power to issue </w:t>
      </w:r>
      <w:r w:rsidR="00676A5C">
        <w:rPr>
          <w:rFonts w:ascii="Times New Roman" w:hAnsi="Times New Roman" w:cs="Times New Roman"/>
        </w:rPr>
        <w:t xml:space="preserve">the </w:t>
      </w:r>
      <w:r w:rsidRPr="006D53A1">
        <w:rPr>
          <w:rFonts w:ascii="Times New Roman" w:hAnsi="Times New Roman" w:cs="Times New Roman"/>
        </w:rPr>
        <w:t>NAD was lawfully exercised and proportionate</w:t>
      </w:r>
      <w:r w:rsidR="006A575A">
        <w:rPr>
          <w:rFonts w:ascii="Times New Roman" w:hAnsi="Times New Roman" w:cs="Times New Roman"/>
        </w:rPr>
        <w:t xml:space="preserve"> and</w:t>
      </w:r>
      <w:r w:rsidRPr="006D53A1">
        <w:rPr>
          <w:rFonts w:ascii="Times New Roman" w:hAnsi="Times New Roman" w:cs="Times New Roman"/>
        </w:rPr>
        <w:t xml:space="preserve"> the conviction </w:t>
      </w:r>
      <w:r w:rsidR="00676A5C">
        <w:rPr>
          <w:rFonts w:ascii="Times New Roman" w:hAnsi="Times New Roman" w:cs="Times New Roman"/>
        </w:rPr>
        <w:t>wa</w:t>
      </w:r>
      <w:r w:rsidRPr="006D53A1">
        <w:rPr>
          <w:rFonts w:ascii="Times New Roman" w:hAnsi="Times New Roman" w:cs="Times New Roman"/>
        </w:rPr>
        <w:t>s not a miscarriage of justice.</w:t>
      </w:r>
    </w:p>
    <w:p w:rsidR="006D53A1" w:rsidRPr="006D53A1" w:rsidRDefault="006D53A1" w:rsidP="00FE294D">
      <w:pPr>
        <w:spacing w:line="240" w:lineRule="auto"/>
        <w:jc w:val="both"/>
        <w:rPr>
          <w:rFonts w:ascii="Times New Roman" w:hAnsi="Times New Roman" w:cs="Times New Roman"/>
        </w:rPr>
      </w:pPr>
      <w:r w:rsidRPr="006D53A1">
        <w:rPr>
          <w:rFonts w:ascii="Times New Roman" w:hAnsi="Times New Roman" w:cs="Times New Roman"/>
        </w:rPr>
        <w:t xml:space="preserve">An ESO restricts a </w:t>
      </w:r>
      <w:r w:rsidR="00ED5996">
        <w:rPr>
          <w:rFonts w:ascii="Times New Roman" w:hAnsi="Times New Roman" w:cs="Times New Roman"/>
        </w:rPr>
        <w:t>person’</w:t>
      </w:r>
      <w:r w:rsidRPr="006D53A1">
        <w:rPr>
          <w:rFonts w:ascii="Times New Roman" w:hAnsi="Times New Roman" w:cs="Times New Roman"/>
        </w:rPr>
        <w:t xml:space="preserve">s freedom because </w:t>
      </w:r>
      <w:r w:rsidR="00676A5C">
        <w:rPr>
          <w:rFonts w:ascii="Times New Roman" w:hAnsi="Times New Roman" w:cs="Times New Roman"/>
        </w:rPr>
        <w:t>o</w:t>
      </w:r>
      <w:r w:rsidRPr="006D53A1">
        <w:rPr>
          <w:rFonts w:ascii="Times New Roman" w:hAnsi="Times New Roman" w:cs="Times New Roman"/>
        </w:rPr>
        <w:t>f w</w:t>
      </w:r>
      <w:r w:rsidR="00676A5C">
        <w:rPr>
          <w:rFonts w:ascii="Times New Roman" w:hAnsi="Times New Roman" w:cs="Times New Roman"/>
        </w:rPr>
        <w:t>h</w:t>
      </w:r>
      <w:r w:rsidRPr="006D53A1">
        <w:rPr>
          <w:rFonts w:ascii="Times New Roman" w:hAnsi="Times New Roman" w:cs="Times New Roman"/>
        </w:rPr>
        <w:t xml:space="preserve">at they might do in </w:t>
      </w:r>
      <w:r w:rsidR="00F85F0E">
        <w:rPr>
          <w:rFonts w:ascii="Times New Roman" w:hAnsi="Times New Roman" w:cs="Times New Roman"/>
        </w:rPr>
        <w:t xml:space="preserve">the </w:t>
      </w:r>
      <w:r w:rsidRPr="006D53A1">
        <w:rPr>
          <w:rFonts w:ascii="Times New Roman" w:hAnsi="Times New Roman" w:cs="Times New Roman"/>
        </w:rPr>
        <w:t xml:space="preserve">future. </w:t>
      </w:r>
      <w:r w:rsidR="002B5716">
        <w:rPr>
          <w:rFonts w:ascii="Times New Roman" w:hAnsi="Times New Roman" w:cs="Times New Roman"/>
        </w:rPr>
        <w:t>T</w:t>
      </w:r>
      <w:r w:rsidRPr="006D53A1">
        <w:rPr>
          <w:rFonts w:ascii="Times New Roman" w:hAnsi="Times New Roman" w:cs="Times New Roman"/>
        </w:rPr>
        <w:t xml:space="preserve">he Courts must ensure </w:t>
      </w:r>
      <w:r w:rsidR="00C36D0B">
        <w:rPr>
          <w:rFonts w:ascii="Times New Roman" w:hAnsi="Times New Roman" w:cs="Times New Roman"/>
        </w:rPr>
        <w:t>an</w:t>
      </w:r>
      <w:r w:rsidRPr="006D53A1">
        <w:rPr>
          <w:rFonts w:ascii="Times New Roman" w:hAnsi="Times New Roman" w:cs="Times New Roman"/>
        </w:rPr>
        <w:t xml:space="preserve"> ESO is </w:t>
      </w:r>
      <w:r w:rsidR="00C36D0B">
        <w:rPr>
          <w:rFonts w:ascii="Times New Roman" w:hAnsi="Times New Roman" w:cs="Times New Roman"/>
        </w:rPr>
        <w:t>c</w:t>
      </w:r>
      <w:r w:rsidRPr="006D53A1">
        <w:rPr>
          <w:rFonts w:ascii="Times New Roman" w:hAnsi="Times New Roman" w:cs="Times New Roman"/>
        </w:rPr>
        <w:t>onsistent with NZBORA</w:t>
      </w:r>
      <w:r w:rsidRPr="006D53A1">
        <w:rPr>
          <w:rStyle w:val="FootnoteReference"/>
          <w:rFonts w:ascii="Times New Roman" w:hAnsi="Times New Roman" w:cs="Times New Roman"/>
        </w:rPr>
        <w:t xml:space="preserve"> </w:t>
      </w:r>
      <w:r w:rsidRPr="006D53A1">
        <w:rPr>
          <w:rStyle w:val="FootnoteReference"/>
          <w:rFonts w:ascii="Times New Roman" w:hAnsi="Times New Roman" w:cs="Times New Roman"/>
        </w:rPr>
        <w:footnoteReference w:id="20"/>
      </w:r>
      <w:r w:rsidR="002B5716">
        <w:rPr>
          <w:rFonts w:ascii="Times New Roman" w:hAnsi="Times New Roman" w:cs="Times New Roman"/>
        </w:rPr>
        <w:t xml:space="preserve">. </w:t>
      </w:r>
      <w:r w:rsidR="00C037E8">
        <w:rPr>
          <w:rFonts w:ascii="Times New Roman" w:hAnsi="Times New Roman" w:cs="Times New Roman"/>
        </w:rPr>
        <w:t>As must</w:t>
      </w:r>
      <w:r w:rsidRPr="006D53A1">
        <w:rPr>
          <w:rFonts w:ascii="Times New Roman" w:hAnsi="Times New Roman" w:cs="Times New Roman"/>
        </w:rPr>
        <w:t xml:space="preserve"> the DOC when making orders under the ESO regime</w:t>
      </w:r>
      <w:r w:rsidR="00C36D0B">
        <w:rPr>
          <w:rStyle w:val="FootnoteReference"/>
          <w:rFonts w:ascii="Times New Roman" w:hAnsi="Times New Roman" w:cs="Times New Roman"/>
        </w:rPr>
        <w:footnoteReference w:id="21"/>
      </w:r>
      <w:r w:rsidR="00C36D0B">
        <w:rPr>
          <w:rFonts w:ascii="Times New Roman" w:hAnsi="Times New Roman" w:cs="Times New Roman"/>
        </w:rPr>
        <w:t>.</w:t>
      </w:r>
      <w:r w:rsidRPr="006D53A1">
        <w:rPr>
          <w:rFonts w:ascii="Times New Roman" w:hAnsi="Times New Roman" w:cs="Times New Roman"/>
        </w:rPr>
        <w:t xml:space="preserve"> </w:t>
      </w:r>
      <w:r w:rsidR="006A575A">
        <w:rPr>
          <w:rFonts w:ascii="Times New Roman" w:hAnsi="Times New Roman" w:cs="Times New Roman"/>
        </w:rPr>
        <w:t>R</w:t>
      </w:r>
      <w:r w:rsidRPr="006D53A1">
        <w:rPr>
          <w:rFonts w:ascii="Times New Roman" w:hAnsi="Times New Roman" w:cs="Times New Roman"/>
        </w:rPr>
        <w:t xml:space="preserve">ights guaranteed under the NZBORA </w:t>
      </w:r>
      <w:r w:rsidR="006A575A">
        <w:rPr>
          <w:rFonts w:ascii="Times New Roman" w:hAnsi="Times New Roman" w:cs="Times New Roman"/>
        </w:rPr>
        <w:t xml:space="preserve">can only be limited to </w:t>
      </w:r>
      <w:r w:rsidRPr="006D53A1">
        <w:rPr>
          <w:rFonts w:ascii="Times New Roman" w:hAnsi="Times New Roman" w:cs="Times New Roman"/>
        </w:rPr>
        <w:t xml:space="preserve">the extent allowed in s 5. The importance and significance of the object pursued is relevant in </w:t>
      </w:r>
      <w:r w:rsidR="00C36D0B">
        <w:rPr>
          <w:rFonts w:ascii="Times New Roman" w:hAnsi="Times New Roman" w:cs="Times New Roman"/>
        </w:rPr>
        <w:t xml:space="preserve">assessing what is a </w:t>
      </w:r>
      <w:r w:rsidRPr="006D53A1">
        <w:rPr>
          <w:rFonts w:ascii="Times New Roman" w:hAnsi="Times New Roman" w:cs="Times New Roman"/>
        </w:rPr>
        <w:t>‘reasonable limit’</w:t>
      </w:r>
      <w:r w:rsidRPr="006D53A1">
        <w:rPr>
          <w:rStyle w:val="FootnoteReference"/>
          <w:rFonts w:ascii="Times New Roman" w:hAnsi="Times New Roman" w:cs="Times New Roman"/>
        </w:rPr>
        <w:footnoteReference w:id="22"/>
      </w:r>
      <w:r w:rsidR="00C36D0B">
        <w:rPr>
          <w:rFonts w:ascii="Times New Roman" w:hAnsi="Times New Roman" w:cs="Times New Roman"/>
        </w:rPr>
        <w:t>.</w:t>
      </w:r>
      <w:r w:rsidRPr="006D53A1">
        <w:rPr>
          <w:rFonts w:ascii="Times New Roman" w:hAnsi="Times New Roman" w:cs="Times New Roman"/>
        </w:rPr>
        <w:t xml:space="preserve"> </w:t>
      </w:r>
      <w:r w:rsidR="006A575A">
        <w:rPr>
          <w:rFonts w:ascii="Times New Roman" w:hAnsi="Times New Roman" w:cs="Times New Roman"/>
        </w:rPr>
        <w:t xml:space="preserve"> Further t</w:t>
      </w:r>
      <w:r w:rsidRPr="006D53A1">
        <w:rPr>
          <w:rFonts w:ascii="Times New Roman" w:hAnsi="Times New Roman" w:cs="Times New Roman"/>
        </w:rPr>
        <w:t xml:space="preserve">he means </w:t>
      </w:r>
      <w:r w:rsidR="00C037E8">
        <w:rPr>
          <w:rFonts w:ascii="Times New Roman" w:hAnsi="Times New Roman" w:cs="Times New Roman"/>
        </w:rPr>
        <w:t xml:space="preserve">to achieve it </w:t>
      </w:r>
      <w:r w:rsidRPr="006D53A1">
        <w:rPr>
          <w:rFonts w:ascii="Times New Roman" w:hAnsi="Times New Roman" w:cs="Times New Roman"/>
        </w:rPr>
        <w:t>must be rationally connected to the purpose and only impair the r</w:t>
      </w:r>
      <w:r w:rsidR="00C037E8">
        <w:rPr>
          <w:rFonts w:ascii="Times New Roman" w:hAnsi="Times New Roman" w:cs="Times New Roman"/>
        </w:rPr>
        <w:t>ight</w:t>
      </w:r>
      <w:r w:rsidRPr="006D53A1">
        <w:rPr>
          <w:rFonts w:ascii="Times New Roman" w:hAnsi="Times New Roman" w:cs="Times New Roman"/>
        </w:rPr>
        <w:t xml:space="preserve"> as far as reasonably necessary to achieve that purpose.</w:t>
      </w:r>
      <w:r w:rsidRPr="006D53A1">
        <w:rPr>
          <w:rStyle w:val="FootnoteReference"/>
          <w:rFonts w:ascii="Times New Roman" w:hAnsi="Times New Roman" w:cs="Times New Roman"/>
        </w:rPr>
        <w:footnoteReference w:id="23"/>
      </w:r>
    </w:p>
    <w:p w:rsidR="006D53A1" w:rsidRPr="006D53A1" w:rsidRDefault="006D53A1" w:rsidP="00FE294D">
      <w:pPr>
        <w:spacing w:line="240" w:lineRule="auto"/>
        <w:jc w:val="both"/>
        <w:rPr>
          <w:rFonts w:ascii="Times New Roman" w:hAnsi="Times New Roman" w:cs="Times New Roman"/>
        </w:rPr>
      </w:pPr>
      <w:r w:rsidRPr="006D53A1">
        <w:rPr>
          <w:rFonts w:ascii="Times New Roman" w:hAnsi="Times New Roman" w:cs="Times New Roman"/>
        </w:rPr>
        <w:t xml:space="preserve">Justice Palmer </w:t>
      </w:r>
      <w:r w:rsidR="00C037E8">
        <w:rPr>
          <w:rFonts w:ascii="Times New Roman" w:hAnsi="Times New Roman" w:cs="Times New Roman"/>
        </w:rPr>
        <w:t>recognised that the</w:t>
      </w:r>
      <w:r w:rsidRPr="006D53A1">
        <w:rPr>
          <w:rFonts w:ascii="Times New Roman" w:hAnsi="Times New Roman" w:cs="Times New Roman"/>
        </w:rPr>
        <w:t xml:space="preserve"> </w:t>
      </w:r>
      <w:r w:rsidR="002B5716">
        <w:rPr>
          <w:rFonts w:ascii="Times New Roman" w:hAnsi="Times New Roman" w:cs="Times New Roman"/>
        </w:rPr>
        <w:t>NA</w:t>
      </w:r>
      <w:r w:rsidRPr="006D53A1">
        <w:rPr>
          <w:rFonts w:ascii="Times New Roman" w:hAnsi="Times New Roman" w:cs="Times New Roman"/>
        </w:rPr>
        <w:t>D</w:t>
      </w:r>
      <w:r w:rsidR="002B5716">
        <w:rPr>
          <w:rFonts w:ascii="Times New Roman" w:hAnsi="Times New Roman" w:cs="Times New Roman"/>
        </w:rPr>
        <w:t xml:space="preserve"> </w:t>
      </w:r>
      <w:r w:rsidRPr="006D53A1">
        <w:rPr>
          <w:rFonts w:ascii="Times New Roman" w:hAnsi="Times New Roman" w:cs="Times New Roman"/>
        </w:rPr>
        <w:t xml:space="preserve">was </w:t>
      </w:r>
      <w:r w:rsidR="00F85F0E">
        <w:rPr>
          <w:rFonts w:ascii="Times New Roman" w:hAnsi="Times New Roman" w:cs="Times New Roman"/>
        </w:rPr>
        <w:t xml:space="preserve">designed </w:t>
      </w:r>
      <w:r w:rsidRPr="006D53A1">
        <w:rPr>
          <w:rFonts w:ascii="Times New Roman" w:hAnsi="Times New Roman" w:cs="Times New Roman"/>
        </w:rPr>
        <w:t>t</w:t>
      </w:r>
      <w:r w:rsidR="00F85F0E">
        <w:rPr>
          <w:rFonts w:ascii="Times New Roman" w:hAnsi="Times New Roman" w:cs="Times New Roman"/>
        </w:rPr>
        <w:t>o</w:t>
      </w:r>
      <w:r w:rsidRPr="006D53A1">
        <w:rPr>
          <w:rFonts w:ascii="Times New Roman" w:hAnsi="Times New Roman" w:cs="Times New Roman"/>
        </w:rPr>
        <w:t xml:space="preserve"> protect children from harm</w:t>
      </w:r>
      <w:r w:rsidR="00C36D0B">
        <w:rPr>
          <w:rFonts w:ascii="Times New Roman" w:hAnsi="Times New Roman" w:cs="Times New Roman"/>
        </w:rPr>
        <w:t xml:space="preserve"> and </w:t>
      </w:r>
      <w:r w:rsidRPr="006D53A1">
        <w:rPr>
          <w:rFonts w:ascii="Times New Roman" w:hAnsi="Times New Roman" w:cs="Times New Roman"/>
        </w:rPr>
        <w:t xml:space="preserve">could </w:t>
      </w:r>
      <w:r w:rsidR="002B5716">
        <w:rPr>
          <w:rFonts w:ascii="Times New Roman" w:hAnsi="Times New Roman" w:cs="Times New Roman"/>
        </w:rPr>
        <w:t xml:space="preserve">therefore </w:t>
      </w:r>
      <w:r w:rsidRPr="006D53A1">
        <w:rPr>
          <w:rFonts w:ascii="Times New Roman" w:hAnsi="Times New Roman" w:cs="Times New Roman"/>
        </w:rPr>
        <w:t xml:space="preserve">sufficiently important to justify curtailing a </w:t>
      </w:r>
      <w:r w:rsidR="002B5716">
        <w:rPr>
          <w:rFonts w:ascii="Times New Roman" w:hAnsi="Times New Roman" w:cs="Times New Roman"/>
        </w:rPr>
        <w:t>right</w:t>
      </w:r>
      <w:r w:rsidRPr="006D53A1">
        <w:rPr>
          <w:rFonts w:ascii="Times New Roman" w:hAnsi="Times New Roman" w:cs="Times New Roman"/>
        </w:rPr>
        <w:t xml:space="preserve">. However, the neighbour’s complaint to the police </w:t>
      </w:r>
      <w:r w:rsidR="00C36D0B">
        <w:rPr>
          <w:rFonts w:ascii="Times New Roman" w:hAnsi="Times New Roman" w:cs="Times New Roman"/>
        </w:rPr>
        <w:t>wa</w:t>
      </w:r>
      <w:r w:rsidRPr="006D53A1">
        <w:rPr>
          <w:rFonts w:ascii="Times New Roman" w:hAnsi="Times New Roman" w:cs="Times New Roman"/>
        </w:rPr>
        <w:t xml:space="preserve">s </w:t>
      </w:r>
      <w:r w:rsidR="00C037E8">
        <w:rPr>
          <w:rFonts w:ascii="Times New Roman" w:hAnsi="Times New Roman" w:cs="Times New Roman"/>
        </w:rPr>
        <w:t>n</w:t>
      </w:r>
      <w:r w:rsidRPr="006D53A1">
        <w:rPr>
          <w:rFonts w:ascii="Times New Roman" w:hAnsi="Times New Roman" w:cs="Times New Roman"/>
        </w:rPr>
        <w:t>o</w:t>
      </w:r>
      <w:r w:rsidR="00C037E8">
        <w:rPr>
          <w:rFonts w:ascii="Times New Roman" w:hAnsi="Times New Roman" w:cs="Times New Roman"/>
        </w:rPr>
        <w:t>t substantiated. W</w:t>
      </w:r>
      <w:r w:rsidR="00C36D0B">
        <w:rPr>
          <w:rFonts w:ascii="Times New Roman" w:hAnsi="Times New Roman" w:cs="Times New Roman"/>
        </w:rPr>
        <w:t>hile</w:t>
      </w:r>
      <w:r w:rsidRPr="006D53A1">
        <w:rPr>
          <w:rFonts w:ascii="Times New Roman" w:hAnsi="Times New Roman" w:cs="Times New Roman"/>
        </w:rPr>
        <w:t xml:space="preserve"> the partner might </w:t>
      </w:r>
      <w:r w:rsidR="006A575A">
        <w:rPr>
          <w:rFonts w:ascii="Times New Roman" w:hAnsi="Times New Roman" w:cs="Times New Roman"/>
        </w:rPr>
        <w:t xml:space="preserve">have </w:t>
      </w:r>
      <w:r w:rsidRPr="006D53A1">
        <w:rPr>
          <w:rFonts w:ascii="Times New Roman" w:hAnsi="Times New Roman" w:cs="Times New Roman"/>
        </w:rPr>
        <w:t>facilitate</w:t>
      </w:r>
      <w:r w:rsidR="006A575A">
        <w:rPr>
          <w:rFonts w:ascii="Times New Roman" w:hAnsi="Times New Roman" w:cs="Times New Roman"/>
        </w:rPr>
        <w:t>d</w:t>
      </w:r>
      <w:r w:rsidRPr="006D53A1">
        <w:rPr>
          <w:rFonts w:ascii="Times New Roman" w:hAnsi="Times New Roman" w:cs="Times New Roman"/>
        </w:rPr>
        <w:t xml:space="preserve"> contact</w:t>
      </w:r>
      <w:r w:rsidR="00C36D0B">
        <w:rPr>
          <w:rFonts w:ascii="Times New Roman" w:hAnsi="Times New Roman" w:cs="Times New Roman"/>
        </w:rPr>
        <w:t>,</w:t>
      </w:r>
      <w:r w:rsidRPr="006D53A1">
        <w:rPr>
          <w:rFonts w:ascii="Times New Roman" w:hAnsi="Times New Roman" w:cs="Times New Roman"/>
        </w:rPr>
        <w:t xml:space="preserve"> the records </w:t>
      </w:r>
      <w:r w:rsidR="00C037E8">
        <w:rPr>
          <w:rFonts w:ascii="Times New Roman" w:hAnsi="Times New Roman" w:cs="Times New Roman"/>
        </w:rPr>
        <w:t xml:space="preserve">only </w:t>
      </w:r>
      <w:r w:rsidR="002B5716">
        <w:rPr>
          <w:rFonts w:ascii="Times New Roman" w:hAnsi="Times New Roman" w:cs="Times New Roman"/>
        </w:rPr>
        <w:t>n</w:t>
      </w:r>
      <w:r w:rsidR="00C037E8">
        <w:rPr>
          <w:rFonts w:ascii="Times New Roman" w:hAnsi="Times New Roman" w:cs="Times New Roman"/>
        </w:rPr>
        <w:t>o</w:t>
      </w:r>
      <w:r w:rsidR="002B5716">
        <w:rPr>
          <w:rFonts w:ascii="Times New Roman" w:hAnsi="Times New Roman" w:cs="Times New Roman"/>
        </w:rPr>
        <w:t>te</w:t>
      </w:r>
      <w:r w:rsidR="00C037E8">
        <w:rPr>
          <w:rFonts w:ascii="Times New Roman" w:hAnsi="Times New Roman" w:cs="Times New Roman"/>
        </w:rPr>
        <w:t>d a</w:t>
      </w:r>
      <w:r w:rsidRPr="006D53A1">
        <w:rPr>
          <w:rFonts w:ascii="Times New Roman" w:hAnsi="Times New Roman" w:cs="Times New Roman"/>
        </w:rPr>
        <w:t xml:space="preserve"> suspicion</w:t>
      </w:r>
      <w:r w:rsidR="00C037E8">
        <w:rPr>
          <w:rFonts w:ascii="Times New Roman" w:hAnsi="Times New Roman" w:cs="Times New Roman"/>
        </w:rPr>
        <w:t xml:space="preserve"> that this was the case</w:t>
      </w:r>
      <w:r w:rsidRPr="006D53A1">
        <w:rPr>
          <w:rFonts w:ascii="Times New Roman" w:hAnsi="Times New Roman" w:cs="Times New Roman"/>
        </w:rPr>
        <w:t xml:space="preserve">. </w:t>
      </w:r>
      <w:r w:rsidR="00C037E8">
        <w:rPr>
          <w:rFonts w:ascii="Times New Roman" w:hAnsi="Times New Roman" w:cs="Times New Roman"/>
        </w:rPr>
        <w:t>It followed that t</w:t>
      </w:r>
      <w:r w:rsidRPr="006D53A1">
        <w:rPr>
          <w:rFonts w:ascii="Times New Roman" w:hAnsi="Times New Roman" w:cs="Times New Roman"/>
        </w:rPr>
        <w:t>he directive was bas</w:t>
      </w:r>
      <w:r w:rsidR="00C037E8">
        <w:rPr>
          <w:rFonts w:ascii="Times New Roman" w:hAnsi="Times New Roman" w:cs="Times New Roman"/>
        </w:rPr>
        <w:t>e</w:t>
      </w:r>
      <w:r w:rsidR="006A575A">
        <w:rPr>
          <w:rFonts w:ascii="Times New Roman" w:hAnsi="Times New Roman" w:cs="Times New Roman"/>
        </w:rPr>
        <w:t>d</w:t>
      </w:r>
      <w:r w:rsidRPr="006D53A1">
        <w:rPr>
          <w:rFonts w:ascii="Times New Roman" w:hAnsi="Times New Roman" w:cs="Times New Roman"/>
        </w:rPr>
        <w:t xml:space="preserve"> o</w:t>
      </w:r>
      <w:r w:rsidR="006A575A">
        <w:rPr>
          <w:rFonts w:ascii="Times New Roman" w:hAnsi="Times New Roman" w:cs="Times New Roman"/>
        </w:rPr>
        <w:t>n</w:t>
      </w:r>
      <w:r w:rsidRPr="006D53A1">
        <w:rPr>
          <w:rFonts w:ascii="Times New Roman" w:hAnsi="Times New Roman" w:cs="Times New Roman"/>
        </w:rPr>
        <w:t xml:space="preserve"> belief, not evidence.</w:t>
      </w:r>
      <w:r w:rsidR="00C36D0B">
        <w:rPr>
          <w:rFonts w:ascii="Times New Roman" w:hAnsi="Times New Roman" w:cs="Times New Roman"/>
        </w:rPr>
        <w:t xml:space="preserve"> </w:t>
      </w:r>
      <w:r w:rsidR="00BB7B6A">
        <w:rPr>
          <w:rFonts w:ascii="Times New Roman" w:hAnsi="Times New Roman" w:cs="Times New Roman"/>
        </w:rPr>
        <w:t>Although</w:t>
      </w:r>
      <w:r w:rsidR="00C36D0B">
        <w:rPr>
          <w:rFonts w:ascii="Times New Roman" w:hAnsi="Times New Roman" w:cs="Times New Roman"/>
        </w:rPr>
        <w:t xml:space="preserve"> the</w:t>
      </w:r>
      <w:r w:rsidRPr="006D53A1">
        <w:rPr>
          <w:rFonts w:ascii="Times New Roman" w:hAnsi="Times New Roman" w:cs="Times New Roman"/>
        </w:rPr>
        <w:t xml:space="preserve"> DOC </w:t>
      </w:r>
      <w:r w:rsidR="006A575A">
        <w:rPr>
          <w:rFonts w:ascii="Times New Roman" w:hAnsi="Times New Roman" w:cs="Times New Roman"/>
        </w:rPr>
        <w:t>may have been</w:t>
      </w:r>
      <w:r w:rsidRPr="006D53A1">
        <w:rPr>
          <w:rFonts w:ascii="Times New Roman" w:hAnsi="Times New Roman" w:cs="Times New Roman"/>
        </w:rPr>
        <w:t xml:space="preserve"> motivated by </w:t>
      </w:r>
      <w:r w:rsidR="00C36D0B">
        <w:rPr>
          <w:rFonts w:ascii="Times New Roman" w:hAnsi="Times New Roman" w:cs="Times New Roman"/>
        </w:rPr>
        <w:t xml:space="preserve">a </w:t>
      </w:r>
      <w:r w:rsidRPr="006D53A1">
        <w:rPr>
          <w:rFonts w:ascii="Times New Roman" w:hAnsi="Times New Roman" w:cs="Times New Roman"/>
        </w:rPr>
        <w:t xml:space="preserve">legitimate concern, the NAD was an indirect way of </w:t>
      </w:r>
      <w:r w:rsidR="002B5716">
        <w:rPr>
          <w:rFonts w:ascii="Times New Roman" w:hAnsi="Times New Roman" w:cs="Times New Roman"/>
        </w:rPr>
        <w:t>limiting</w:t>
      </w:r>
      <w:r w:rsidRPr="006D53A1">
        <w:rPr>
          <w:rFonts w:ascii="Times New Roman" w:hAnsi="Times New Roman" w:cs="Times New Roman"/>
        </w:rPr>
        <w:t xml:space="preserve"> contact with minors</w:t>
      </w:r>
      <w:r w:rsidR="00F85F0E">
        <w:rPr>
          <w:rFonts w:ascii="Times New Roman" w:hAnsi="Times New Roman" w:cs="Times New Roman"/>
        </w:rPr>
        <w:t xml:space="preserve"> and</w:t>
      </w:r>
      <w:r w:rsidR="00C037E8">
        <w:rPr>
          <w:rFonts w:ascii="Times New Roman" w:hAnsi="Times New Roman" w:cs="Times New Roman"/>
        </w:rPr>
        <w:t xml:space="preserve"> t</w:t>
      </w:r>
      <w:r w:rsidRPr="006D53A1">
        <w:rPr>
          <w:rFonts w:ascii="Times New Roman" w:hAnsi="Times New Roman" w:cs="Times New Roman"/>
        </w:rPr>
        <w:t>here was no evidence th</w:t>
      </w:r>
      <w:r w:rsidR="00BB7B6A">
        <w:rPr>
          <w:rFonts w:ascii="Times New Roman" w:hAnsi="Times New Roman" w:cs="Times New Roman"/>
        </w:rPr>
        <w:t>e</w:t>
      </w:r>
      <w:r w:rsidRPr="006D53A1">
        <w:rPr>
          <w:rFonts w:ascii="Times New Roman" w:hAnsi="Times New Roman" w:cs="Times New Roman"/>
        </w:rPr>
        <w:t xml:space="preserve"> </w:t>
      </w:r>
      <w:r w:rsidR="006A575A">
        <w:rPr>
          <w:rFonts w:ascii="Times New Roman" w:hAnsi="Times New Roman" w:cs="Times New Roman"/>
        </w:rPr>
        <w:t xml:space="preserve">condition </w:t>
      </w:r>
      <w:r w:rsidRPr="006D53A1">
        <w:rPr>
          <w:rFonts w:ascii="Times New Roman" w:hAnsi="Times New Roman" w:cs="Times New Roman"/>
        </w:rPr>
        <w:t>was not being met. Corrections need</w:t>
      </w:r>
      <w:r w:rsidR="00C36D0B">
        <w:rPr>
          <w:rFonts w:ascii="Times New Roman" w:hAnsi="Times New Roman" w:cs="Times New Roman"/>
        </w:rPr>
        <w:t>ed</w:t>
      </w:r>
      <w:r w:rsidRPr="006D53A1">
        <w:rPr>
          <w:rFonts w:ascii="Times New Roman" w:hAnsi="Times New Roman" w:cs="Times New Roman"/>
        </w:rPr>
        <w:t xml:space="preserve"> to fully test information it relie</w:t>
      </w:r>
      <w:r w:rsidR="00C36D0B">
        <w:rPr>
          <w:rFonts w:ascii="Times New Roman" w:hAnsi="Times New Roman" w:cs="Times New Roman"/>
        </w:rPr>
        <w:t>d</w:t>
      </w:r>
      <w:r w:rsidRPr="006D53A1">
        <w:rPr>
          <w:rFonts w:ascii="Times New Roman" w:hAnsi="Times New Roman" w:cs="Times New Roman"/>
        </w:rPr>
        <w:t xml:space="preserve"> on to curtail human rights. The blanket </w:t>
      </w:r>
      <w:r w:rsidR="00213C49">
        <w:rPr>
          <w:rFonts w:ascii="Times New Roman" w:hAnsi="Times New Roman" w:cs="Times New Roman"/>
        </w:rPr>
        <w:t>ban</w:t>
      </w:r>
      <w:r w:rsidRPr="006D53A1">
        <w:rPr>
          <w:rFonts w:ascii="Times New Roman" w:hAnsi="Times New Roman" w:cs="Times New Roman"/>
        </w:rPr>
        <w:t xml:space="preserve"> on </w:t>
      </w:r>
      <w:r w:rsidR="00BA71EE" w:rsidRPr="006D53A1">
        <w:rPr>
          <w:rFonts w:ascii="Times New Roman" w:hAnsi="Times New Roman" w:cs="Times New Roman"/>
        </w:rPr>
        <w:t xml:space="preserve">Mr </w:t>
      </w:r>
      <w:proofErr w:type="spellStart"/>
      <w:r w:rsidR="00BA71EE" w:rsidRPr="006D53A1">
        <w:rPr>
          <w:rFonts w:ascii="Times New Roman" w:hAnsi="Times New Roman" w:cs="Times New Roman"/>
        </w:rPr>
        <w:t>Te</w:t>
      </w:r>
      <w:proofErr w:type="spellEnd"/>
      <w:r w:rsidR="00BA71EE" w:rsidRPr="006D53A1">
        <w:rPr>
          <w:rFonts w:ascii="Times New Roman" w:hAnsi="Times New Roman" w:cs="Times New Roman"/>
        </w:rPr>
        <w:t xml:space="preserve"> </w:t>
      </w:r>
      <w:proofErr w:type="spellStart"/>
      <w:r w:rsidR="00BA71EE" w:rsidRPr="006D53A1">
        <w:rPr>
          <w:rFonts w:ascii="Times New Roman" w:hAnsi="Times New Roman" w:cs="Times New Roman"/>
        </w:rPr>
        <w:t>Whatu</w:t>
      </w:r>
      <w:proofErr w:type="spellEnd"/>
      <w:r w:rsidR="00BA71EE" w:rsidRPr="006D53A1">
        <w:rPr>
          <w:rFonts w:ascii="Times New Roman" w:hAnsi="Times New Roman" w:cs="Times New Roman"/>
        </w:rPr>
        <w:t xml:space="preserve"> </w:t>
      </w:r>
      <w:r w:rsidR="00C36D0B">
        <w:rPr>
          <w:rFonts w:ascii="Times New Roman" w:hAnsi="Times New Roman" w:cs="Times New Roman"/>
        </w:rPr>
        <w:t>contact</w:t>
      </w:r>
      <w:r w:rsidR="00213C49">
        <w:rPr>
          <w:rFonts w:ascii="Times New Roman" w:hAnsi="Times New Roman" w:cs="Times New Roman"/>
        </w:rPr>
        <w:t>ing</w:t>
      </w:r>
      <w:r w:rsidR="00C36D0B">
        <w:rPr>
          <w:rFonts w:ascii="Times New Roman" w:hAnsi="Times New Roman" w:cs="Times New Roman"/>
        </w:rPr>
        <w:t xml:space="preserve"> </w:t>
      </w:r>
      <w:r w:rsidR="00213C49">
        <w:rPr>
          <w:rFonts w:ascii="Times New Roman" w:hAnsi="Times New Roman" w:cs="Times New Roman"/>
        </w:rPr>
        <w:t>his</w:t>
      </w:r>
      <w:r w:rsidRPr="006D53A1">
        <w:rPr>
          <w:rFonts w:ascii="Times New Roman" w:hAnsi="Times New Roman" w:cs="Times New Roman"/>
        </w:rPr>
        <w:t xml:space="preserve"> partner</w:t>
      </w:r>
      <w:r w:rsidR="002B5716">
        <w:rPr>
          <w:rFonts w:ascii="Times New Roman" w:hAnsi="Times New Roman" w:cs="Times New Roman"/>
        </w:rPr>
        <w:t>,</w:t>
      </w:r>
      <w:r w:rsidRPr="006D53A1">
        <w:rPr>
          <w:rFonts w:ascii="Times New Roman" w:hAnsi="Times New Roman" w:cs="Times New Roman"/>
        </w:rPr>
        <w:t xml:space="preserve"> </w:t>
      </w:r>
      <w:r w:rsidR="00C36D0B">
        <w:rPr>
          <w:rFonts w:ascii="Times New Roman" w:hAnsi="Times New Roman" w:cs="Times New Roman"/>
        </w:rPr>
        <w:t xml:space="preserve">who was </w:t>
      </w:r>
      <w:r w:rsidRPr="006D53A1">
        <w:rPr>
          <w:rFonts w:ascii="Times New Roman" w:hAnsi="Times New Roman" w:cs="Times New Roman"/>
        </w:rPr>
        <w:t>his only emotional support</w:t>
      </w:r>
      <w:r w:rsidR="002B5716">
        <w:rPr>
          <w:rFonts w:ascii="Times New Roman" w:hAnsi="Times New Roman" w:cs="Times New Roman"/>
        </w:rPr>
        <w:t>,</w:t>
      </w:r>
      <w:r w:rsidRPr="006D53A1">
        <w:rPr>
          <w:rFonts w:ascii="Times New Roman" w:hAnsi="Times New Roman" w:cs="Times New Roman"/>
        </w:rPr>
        <w:t xml:space="preserve"> was setting</w:t>
      </w:r>
      <w:r w:rsidR="00213C49" w:rsidRPr="00213C49">
        <w:rPr>
          <w:rFonts w:ascii="Times New Roman" w:hAnsi="Times New Roman" w:cs="Times New Roman"/>
        </w:rPr>
        <w:t xml:space="preserve"> </w:t>
      </w:r>
      <w:r w:rsidR="00BA71EE">
        <w:rPr>
          <w:rFonts w:ascii="Times New Roman" w:hAnsi="Times New Roman" w:cs="Times New Roman"/>
        </w:rPr>
        <w:t xml:space="preserve">him </w:t>
      </w:r>
      <w:r w:rsidRPr="006D53A1">
        <w:rPr>
          <w:rFonts w:ascii="Times New Roman" w:hAnsi="Times New Roman" w:cs="Times New Roman"/>
        </w:rPr>
        <w:t>up to fail</w:t>
      </w:r>
      <w:r w:rsidR="002B5716">
        <w:rPr>
          <w:rFonts w:ascii="Times New Roman" w:hAnsi="Times New Roman" w:cs="Times New Roman"/>
        </w:rPr>
        <w:t>. This</w:t>
      </w:r>
      <w:r w:rsidRPr="006D53A1">
        <w:rPr>
          <w:rFonts w:ascii="Times New Roman" w:hAnsi="Times New Roman" w:cs="Times New Roman"/>
        </w:rPr>
        <w:t xml:space="preserve"> </w:t>
      </w:r>
      <w:r w:rsidR="00C36D0B">
        <w:rPr>
          <w:rFonts w:ascii="Times New Roman" w:hAnsi="Times New Roman" w:cs="Times New Roman"/>
        </w:rPr>
        <w:t>wa</w:t>
      </w:r>
      <w:r w:rsidRPr="006D53A1">
        <w:rPr>
          <w:rFonts w:ascii="Times New Roman" w:hAnsi="Times New Roman" w:cs="Times New Roman"/>
        </w:rPr>
        <w:t xml:space="preserve">s compounded by the </w:t>
      </w:r>
      <w:r w:rsidR="00C36D0B">
        <w:rPr>
          <w:rFonts w:ascii="Times New Roman" w:hAnsi="Times New Roman" w:cs="Times New Roman"/>
        </w:rPr>
        <w:t xml:space="preserve">fact he had </w:t>
      </w:r>
      <w:r w:rsidRPr="006D53A1">
        <w:rPr>
          <w:rFonts w:ascii="Times New Roman" w:hAnsi="Times New Roman" w:cs="Times New Roman"/>
        </w:rPr>
        <w:t>no</w:t>
      </w:r>
      <w:r w:rsidR="00BB7B6A">
        <w:rPr>
          <w:rFonts w:ascii="Times New Roman" w:hAnsi="Times New Roman" w:cs="Times New Roman"/>
        </w:rPr>
        <w:t>t committed a</w:t>
      </w:r>
      <w:r w:rsidRPr="006D53A1">
        <w:rPr>
          <w:rFonts w:ascii="Times New Roman" w:hAnsi="Times New Roman" w:cs="Times New Roman"/>
        </w:rPr>
        <w:t xml:space="preserve"> sexual offen</w:t>
      </w:r>
      <w:r w:rsidR="00BB7B6A">
        <w:rPr>
          <w:rFonts w:ascii="Times New Roman" w:hAnsi="Times New Roman" w:cs="Times New Roman"/>
        </w:rPr>
        <w:t>ce</w:t>
      </w:r>
      <w:r w:rsidRPr="006D53A1">
        <w:rPr>
          <w:rFonts w:ascii="Times New Roman" w:hAnsi="Times New Roman" w:cs="Times New Roman"/>
        </w:rPr>
        <w:t xml:space="preserve"> since 2005. </w:t>
      </w:r>
      <w:r w:rsidR="00C36D0B">
        <w:rPr>
          <w:rFonts w:ascii="Times New Roman" w:hAnsi="Times New Roman" w:cs="Times New Roman"/>
        </w:rPr>
        <w:t>T</w:t>
      </w:r>
      <w:r w:rsidRPr="006D53A1">
        <w:rPr>
          <w:rFonts w:ascii="Times New Roman" w:hAnsi="Times New Roman" w:cs="Times New Roman"/>
        </w:rPr>
        <w:t>he only breach of ESO was a single occasion when he saw his son at his partner’s place.</w:t>
      </w:r>
    </w:p>
    <w:p w:rsidR="006D53A1" w:rsidRPr="006D53A1" w:rsidRDefault="00BB7B6A" w:rsidP="00FE294D">
      <w:pPr>
        <w:spacing w:line="240" w:lineRule="auto"/>
        <w:jc w:val="both"/>
        <w:rPr>
          <w:rFonts w:ascii="Times New Roman" w:hAnsi="Times New Roman" w:cs="Times New Roman"/>
        </w:rPr>
      </w:pPr>
      <w:r w:rsidRPr="006D53A1">
        <w:rPr>
          <w:rFonts w:ascii="Times New Roman" w:hAnsi="Times New Roman" w:cs="Times New Roman"/>
        </w:rPr>
        <w:t>Justice Palmer allowed the appeal and quashed the conviction.</w:t>
      </w:r>
      <w:r>
        <w:rPr>
          <w:rFonts w:ascii="Times New Roman" w:hAnsi="Times New Roman" w:cs="Times New Roman"/>
        </w:rPr>
        <w:t xml:space="preserve"> </w:t>
      </w:r>
      <w:r w:rsidR="00C36D0B">
        <w:rPr>
          <w:rFonts w:ascii="Times New Roman" w:hAnsi="Times New Roman" w:cs="Times New Roman"/>
        </w:rPr>
        <w:t>I</w:t>
      </w:r>
      <w:r w:rsidR="006D53A1" w:rsidRPr="006D53A1">
        <w:rPr>
          <w:rFonts w:ascii="Times New Roman" w:hAnsi="Times New Roman" w:cs="Times New Roman"/>
        </w:rPr>
        <w:t>n the circumstances, the blanket direction not to associate with his partner was a breach of s 17 NZBOR</w:t>
      </w:r>
      <w:r w:rsidR="006A575A">
        <w:rPr>
          <w:rFonts w:ascii="Times New Roman" w:hAnsi="Times New Roman" w:cs="Times New Roman"/>
        </w:rPr>
        <w:t>A (freedom of association)</w:t>
      </w:r>
      <w:r w:rsidR="006D53A1" w:rsidRPr="006D53A1">
        <w:rPr>
          <w:rFonts w:ascii="Times New Roman" w:hAnsi="Times New Roman" w:cs="Times New Roman"/>
        </w:rPr>
        <w:t xml:space="preserve"> </w:t>
      </w:r>
      <w:r w:rsidR="006A575A">
        <w:rPr>
          <w:rFonts w:ascii="Times New Roman" w:hAnsi="Times New Roman" w:cs="Times New Roman"/>
        </w:rPr>
        <w:t>that</w:t>
      </w:r>
      <w:r w:rsidR="00C36D0B">
        <w:rPr>
          <w:rFonts w:ascii="Times New Roman" w:hAnsi="Times New Roman" w:cs="Times New Roman"/>
        </w:rPr>
        <w:t xml:space="preserve"> could </w:t>
      </w:r>
      <w:r w:rsidR="006D53A1" w:rsidRPr="006D53A1">
        <w:rPr>
          <w:rFonts w:ascii="Times New Roman" w:hAnsi="Times New Roman" w:cs="Times New Roman"/>
        </w:rPr>
        <w:t xml:space="preserve">not </w:t>
      </w:r>
      <w:r w:rsidR="00C36D0B">
        <w:rPr>
          <w:rFonts w:ascii="Times New Roman" w:hAnsi="Times New Roman" w:cs="Times New Roman"/>
        </w:rPr>
        <w:t xml:space="preserve">be </w:t>
      </w:r>
      <w:r w:rsidR="006D53A1" w:rsidRPr="006D53A1">
        <w:rPr>
          <w:rFonts w:ascii="Times New Roman" w:hAnsi="Times New Roman" w:cs="Times New Roman"/>
        </w:rPr>
        <w:t xml:space="preserve">justified </w:t>
      </w:r>
      <w:r w:rsidR="00C36D0B">
        <w:rPr>
          <w:rFonts w:ascii="Times New Roman" w:hAnsi="Times New Roman" w:cs="Times New Roman"/>
        </w:rPr>
        <w:t>under</w:t>
      </w:r>
      <w:r w:rsidR="006D53A1" w:rsidRPr="006D53A1">
        <w:rPr>
          <w:rFonts w:ascii="Times New Roman" w:hAnsi="Times New Roman" w:cs="Times New Roman"/>
        </w:rPr>
        <w:t xml:space="preserve"> s 5. </w:t>
      </w:r>
      <w:r w:rsidR="00213C49">
        <w:rPr>
          <w:rFonts w:ascii="Times New Roman" w:hAnsi="Times New Roman" w:cs="Times New Roman"/>
        </w:rPr>
        <w:t>While h</w:t>
      </w:r>
      <w:r w:rsidR="006D53A1" w:rsidRPr="006D53A1">
        <w:rPr>
          <w:rFonts w:ascii="Times New Roman" w:hAnsi="Times New Roman" w:cs="Times New Roman"/>
        </w:rPr>
        <w:t xml:space="preserve">is lawyer may have advised him differently if she </w:t>
      </w:r>
      <w:r w:rsidR="00BA71EE">
        <w:rPr>
          <w:rFonts w:ascii="Times New Roman" w:hAnsi="Times New Roman" w:cs="Times New Roman"/>
        </w:rPr>
        <w:t xml:space="preserve">had </w:t>
      </w:r>
      <w:r w:rsidR="006D53A1" w:rsidRPr="006D53A1">
        <w:rPr>
          <w:rFonts w:ascii="Times New Roman" w:hAnsi="Times New Roman" w:cs="Times New Roman"/>
        </w:rPr>
        <w:t>s</w:t>
      </w:r>
      <w:r w:rsidR="00BA71EE">
        <w:rPr>
          <w:rFonts w:ascii="Times New Roman" w:hAnsi="Times New Roman" w:cs="Times New Roman"/>
        </w:rPr>
        <w:t>een</w:t>
      </w:r>
      <w:r w:rsidR="006D53A1" w:rsidRPr="006D53A1">
        <w:rPr>
          <w:rFonts w:ascii="Times New Roman" w:hAnsi="Times New Roman" w:cs="Times New Roman"/>
        </w:rPr>
        <w:t xml:space="preserve"> the NAD, the unlawful direction created a real risk that the outcome would be a miscarriage of justice. </w:t>
      </w:r>
    </w:p>
    <w:p w:rsidR="006D53A1" w:rsidRPr="006D53A1" w:rsidRDefault="00213C49" w:rsidP="00FE294D">
      <w:pPr>
        <w:spacing w:line="240" w:lineRule="auto"/>
        <w:jc w:val="both"/>
        <w:rPr>
          <w:rFonts w:ascii="Times New Roman" w:hAnsi="Times New Roman" w:cs="Times New Roman"/>
        </w:rPr>
      </w:pPr>
      <w:r w:rsidRPr="006D53A1">
        <w:rPr>
          <w:rFonts w:ascii="Times New Roman" w:hAnsi="Times New Roman" w:cs="Times New Roman"/>
        </w:rPr>
        <w:t xml:space="preserve">The </w:t>
      </w:r>
      <w:r w:rsidR="0009432E">
        <w:rPr>
          <w:rFonts w:ascii="Times New Roman" w:hAnsi="Times New Roman" w:cs="Times New Roman"/>
        </w:rPr>
        <w:t xml:space="preserve">issue then was </w:t>
      </w:r>
      <w:r w:rsidR="009D72A5">
        <w:rPr>
          <w:rFonts w:ascii="Times New Roman" w:hAnsi="Times New Roman" w:cs="Times New Roman"/>
        </w:rPr>
        <w:t xml:space="preserve">whether </w:t>
      </w:r>
      <w:r w:rsidRPr="006D53A1">
        <w:rPr>
          <w:rFonts w:ascii="Times New Roman" w:hAnsi="Times New Roman" w:cs="Times New Roman"/>
        </w:rPr>
        <w:t>the sentence imposed by the District Court judge</w:t>
      </w:r>
      <w:r w:rsidR="00BA71EE">
        <w:rPr>
          <w:rFonts w:ascii="Times New Roman" w:hAnsi="Times New Roman" w:cs="Times New Roman"/>
        </w:rPr>
        <w:t xml:space="preserve"> </w:t>
      </w:r>
      <w:r w:rsidRPr="006D53A1">
        <w:rPr>
          <w:rFonts w:ascii="Times New Roman" w:hAnsi="Times New Roman" w:cs="Times New Roman"/>
        </w:rPr>
        <w:t>based on the ‘need’ to convey t</w:t>
      </w:r>
      <w:r w:rsidR="00BA71EE">
        <w:rPr>
          <w:rFonts w:ascii="Times New Roman" w:hAnsi="Times New Roman" w:cs="Times New Roman"/>
        </w:rPr>
        <w:t>o</w:t>
      </w:r>
      <w:r w:rsidRPr="006D53A1">
        <w:rPr>
          <w:rFonts w:ascii="Times New Roman" w:hAnsi="Times New Roman" w:cs="Times New Roman"/>
        </w:rPr>
        <w:t xml:space="preserve"> Mr </w:t>
      </w:r>
      <w:proofErr w:type="spellStart"/>
      <w:r w:rsidRPr="006D53A1">
        <w:rPr>
          <w:rFonts w:ascii="Times New Roman" w:hAnsi="Times New Roman" w:cs="Times New Roman"/>
        </w:rPr>
        <w:t>Te</w:t>
      </w:r>
      <w:proofErr w:type="spellEnd"/>
      <w:r w:rsidRPr="006D53A1">
        <w:rPr>
          <w:rFonts w:ascii="Times New Roman" w:hAnsi="Times New Roman" w:cs="Times New Roman"/>
        </w:rPr>
        <w:t xml:space="preserve"> </w:t>
      </w:r>
      <w:proofErr w:type="spellStart"/>
      <w:r w:rsidRPr="006D53A1">
        <w:rPr>
          <w:rFonts w:ascii="Times New Roman" w:hAnsi="Times New Roman" w:cs="Times New Roman"/>
        </w:rPr>
        <w:t>Whatu</w:t>
      </w:r>
      <w:proofErr w:type="spellEnd"/>
      <w:r w:rsidRPr="006D53A1">
        <w:rPr>
          <w:rFonts w:ascii="Times New Roman" w:hAnsi="Times New Roman" w:cs="Times New Roman"/>
        </w:rPr>
        <w:t xml:space="preserve"> </w:t>
      </w:r>
      <w:r w:rsidR="00BA71EE">
        <w:rPr>
          <w:rFonts w:ascii="Times New Roman" w:hAnsi="Times New Roman" w:cs="Times New Roman"/>
        </w:rPr>
        <w:t xml:space="preserve">that he </w:t>
      </w:r>
      <w:r>
        <w:rPr>
          <w:rFonts w:ascii="Times New Roman" w:hAnsi="Times New Roman" w:cs="Times New Roman"/>
        </w:rPr>
        <w:t xml:space="preserve">had to </w:t>
      </w:r>
      <w:r w:rsidRPr="006D53A1">
        <w:rPr>
          <w:rFonts w:ascii="Times New Roman" w:hAnsi="Times New Roman" w:cs="Times New Roman"/>
        </w:rPr>
        <w:t>strictly comply with the ESO</w:t>
      </w:r>
      <w:r w:rsidR="0009432E">
        <w:rPr>
          <w:rFonts w:ascii="Times New Roman" w:hAnsi="Times New Roman" w:cs="Times New Roman"/>
        </w:rPr>
        <w:t>,</w:t>
      </w:r>
      <w:r w:rsidR="009D72A5">
        <w:rPr>
          <w:rFonts w:ascii="Times New Roman" w:hAnsi="Times New Roman" w:cs="Times New Roman"/>
        </w:rPr>
        <w:t xml:space="preserve"> was excessive</w:t>
      </w:r>
      <w:r w:rsidRPr="006D53A1">
        <w:rPr>
          <w:rFonts w:ascii="Times New Roman" w:hAnsi="Times New Roman" w:cs="Times New Roman"/>
        </w:rPr>
        <w:t>.</w:t>
      </w:r>
      <w:r>
        <w:rPr>
          <w:rFonts w:ascii="Times New Roman" w:hAnsi="Times New Roman" w:cs="Times New Roman"/>
        </w:rPr>
        <w:t xml:space="preserve"> </w:t>
      </w:r>
      <w:r w:rsidR="006D53A1" w:rsidRPr="006D53A1">
        <w:rPr>
          <w:rFonts w:ascii="Times New Roman" w:hAnsi="Times New Roman" w:cs="Times New Roman"/>
        </w:rPr>
        <w:t>The Crown argued that th</w:t>
      </w:r>
      <w:r w:rsidR="0009432E">
        <w:rPr>
          <w:rFonts w:ascii="Times New Roman" w:hAnsi="Times New Roman" w:cs="Times New Roman"/>
        </w:rPr>
        <w:t>e</w:t>
      </w:r>
      <w:r w:rsidR="006D53A1" w:rsidRPr="006D53A1">
        <w:rPr>
          <w:rFonts w:ascii="Times New Roman" w:hAnsi="Times New Roman" w:cs="Times New Roman"/>
        </w:rPr>
        <w:t xml:space="preserve"> sentence was not manifestly excessive, given Mr </w:t>
      </w:r>
      <w:proofErr w:type="spellStart"/>
      <w:r w:rsidR="006D53A1" w:rsidRPr="006D53A1">
        <w:rPr>
          <w:rFonts w:ascii="Times New Roman" w:hAnsi="Times New Roman" w:cs="Times New Roman"/>
        </w:rPr>
        <w:t>Te</w:t>
      </w:r>
      <w:proofErr w:type="spellEnd"/>
      <w:r w:rsidR="006D53A1" w:rsidRPr="006D53A1">
        <w:rPr>
          <w:rFonts w:ascii="Times New Roman" w:hAnsi="Times New Roman" w:cs="Times New Roman"/>
        </w:rPr>
        <w:t xml:space="preserve"> </w:t>
      </w:r>
      <w:proofErr w:type="spellStart"/>
      <w:r w:rsidR="006D53A1" w:rsidRPr="006D53A1">
        <w:rPr>
          <w:rFonts w:ascii="Times New Roman" w:hAnsi="Times New Roman" w:cs="Times New Roman"/>
        </w:rPr>
        <w:t>Whatu’s</w:t>
      </w:r>
      <w:proofErr w:type="spellEnd"/>
      <w:r w:rsidR="006D53A1" w:rsidRPr="006D53A1">
        <w:rPr>
          <w:rFonts w:ascii="Times New Roman" w:hAnsi="Times New Roman" w:cs="Times New Roman"/>
        </w:rPr>
        <w:t xml:space="preserve"> criminal history</w:t>
      </w:r>
      <w:r w:rsidR="00BA71EE">
        <w:rPr>
          <w:rFonts w:ascii="Times New Roman" w:hAnsi="Times New Roman" w:cs="Times New Roman"/>
        </w:rPr>
        <w:t xml:space="preserve"> and</w:t>
      </w:r>
      <w:r>
        <w:rPr>
          <w:rFonts w:ascii="Times New Roman" w:hAnsi="Times New Roman" w:cs="Times New Roman"/>
        </w:rPr>
        <w:t xml:space="preserve"> </w:t>
      </w:r>
      <w:r w:rsidR="0009432E">
        <w:rPr>
          <w:rFonts w:ascii="Times New Roman" w:hAnsi="Times New Roman" w:cs="Times New Roman"/>
        </w:rPr>
        <w:t xml:space="preserve">the </w:t>
      </w:r>
      <w:r w:rsidR="006D53A1" w:rsidRPr="006D53A1">
        <w:rPr>
          <w:rFonts w:ascii="Times New Roman" w:hAnsi="Times New Roman" w:cs="Times New Roman"/>
        </w:rPr>
        <w:t xml:space="preserve">2 months’ imprisonment for the theft </w:t>
      </w:r>
      <w:r w:rsidR="00BA71EE">
        <w:rPr>
          <w:rFonts w:ascii="Times New Roman" w:hAnsi="Times New Roman" w:cs="Times New Roman"/>
        </w:rPr>
        <w:t>wa</w:t>
      </w:r>
      <w:r w:rsidR="006D53A1" w:rsidRPr="006D53A1">
        <w:rPr>
          <w:rFonts w:ascii="Times New Roman" w:hAnsi="Times New Roman" w:cs="Times New Roman"/>
        </w:rPr>
        <w:t>s appropriate given h</w:t>
      </w:r>
      <w:r w:rsidR="0000165E">
        <w:rPr>
          <w:rFonts w:ascii="Times New Roman" w:hAnsi="Times New Roman" w:cs="Times New Roman"/>
        </w:rPr>
        <w:t>is</w:t>
      </w:r>
      <w:r w:rsidR="006D53A1" w:rsidRPr="006D53A1">
        <w:rPr>
          <w:rFonts w:ascii="Times New Roman" w:hAnsi="Times New Roman" w:cs="Times New Roman"/>
        </w:rPr>
        <w:t xml:space="preserve"> history of dishonest</w:t>
      </w:r>
      <w:r w:rsidR="0009432E">
        <w:rPr>
          <w:rFonts w:ascii="Times New Roman" w:hAnsi="Times New Roman" w:cs="Times New Roman"/>
        </w:rPr>
        <w:t>y</w:t>
      </w:r>
      <w:r w:rsidR="006D53A1" w:rsidRPr="006D53A1">
        <w:rPr>
          <w:rFonts w:ascii="Times New Roman" w:hAnsi="Times New Roman" w:cs="Times New Roman"/>
        </w:rPr>
        <w:t>.</w:t>
      </w:r>
    </w:p>
    <w:p w:rsidR="00FE294D" w:rsidRDefault="005871E0" w:rsidP="00FE294D">
      <w:pPr>
        <w:spacing w:line="240" w:lineRule="auto"/>
        <w:jc w:val="both"/>
        <w:rPr>
          <w:rFonts w:ascii="Times New Roman" w:hAnsi="Times New Roman" w:cs="Times New Roman"/>
        </w:rPr>
      </w:pPr>
      <w:r>
        <w:rPr>
          <w:rFonts w:ascii="Times New Roman" w:hAnsi="Times New Roman" w:cs="Times New Roman"/>
        </w:rPr>
        <w:t>As</w:t>
      </w:r>
      <w:r w:rsidR="006D53A1" w:rsidRPr="006D53A1">
        <w:rPr>
          <w:rFonts w:ascii="Times New Roman" w:hAnsi="Times New Roman" w:cs="Times New Roman"/>
        </w:rPr>
        <w:t xml:space="preserve"> the NAD </w:t>
      </w:r>
      <w:r w:rsidR="00264F74">
        <w:rPr>
          <w:rFonts w:ascii="Times New Roman" w:hAnsi="Times New Roman" w:cs="Times New Roman"/>
        </w:rPr>
        <w:t>wa</w:t>
      </w:r>
      <w:r w:rsidR="006D53A1" w:rsidRPr="006D53A1">
        <w:rPr>
          <w:rFonts w:ascii="Times New Roman" w:hAnsi="Times New Roman" w:cs="Times New Roman"/>
        </w:rPr>
        <w:t xml:space="preserve">s </w:t>
      </w:r>
      <w:r w:rsidR="00BA71EE">
        <w:rPr>
          <w:rFonts w:ascii="Times New Roman" w:hAnsi="Times New Roman" w:cs="Times New Roman"/>
        </w:rPr>
        <w:t>u</w:t>
      </w:r>
      <w:r w:rsidR="006D53A1" w:rsidRPr="006D53A1">
        <w:rPr>
          <w:rFonts w:ascii="Times New Roman" w:hAnsi="Times New Roman" w:cs="Times New Roman"/>
        </w:rPr>
        <w:t>nl</w:t>
      </w:r>
      <w:r w:rsidR="00264F74">
        <w:rPr>
          <w:rFonts w:ascii="Times New Roman" w:hAnsi="Times New Roman" w:cs="Times New Roman"/>
        </w:rPr>
        <w:t>awful</w:t>
      </w:r>
      <w:r w:rsidR="006D53A1" w:rsidRPr="006D53A1">
        <w:rPr>
          <w:rFonts w:ascii="Times New Roman" w:hAnsi="Times New Roman" w:cs="Times New Roman"/>
        </w:rPr>
        <w:t xml:space="preserve">, the conviction for breach </w:t>
      </w:r>
      <w:r w:rsidR="0009432E">
        <w:rPr>
          <w:rFonts w:ascii="Times New Roman" w:hAnsi="Times New Roman" w:cs="Times New Roman"/>
        </w:rPr>
        <w:t>w</w:t>
      </w:r>
      <w:r w:rsidR="00264F74">
        <w:rPr>
          <w:rFonts w:ascii="Times New Roman" w:hAnsi="Times New Roman" w:cs="Times New Roman"/>
        </w:rPr>
        <w:t>a</w:t>
      </w:r>
      <w:r w:rsidR="0009432E">
        <w:rPr>
          <w:rFonts w:ascii="Times New Roman" w:hAnsi="Times New Roman" w:cs="Times New Roman"/>
        </w:rPr>
        <w:t>s</w:t>
      </w:r>
      <w:r w:rsidR="006D53A1" w:rsidRPr="006D53A1">
        <w:rPr>
          <w:rFonts w:ascii="Times New Roman" w:hAnsi="Times New Roman" w:cs="Times New Roman"/>
        </w:rPr>
        <w:t xml:space="preserve"> quashed</w:t>
      </w:r>
      <w:r w:rsidR="0009432E">
        <w:rPr>
          <w:rFonts w:ascii="Times New Roman" w:hAnsi="Times New Roman" w:cs="Times New Roman"/>
        </w:rPr>
        <w:t>. Further</w:t>
      </w:r>
      <w:r w:rsidR="006D53A1" w:rsidRPr="006D53A1">
        <w:rPr>
          <w:rFonts w:ascii="Times New Roman" w:hAnsi="Times New Roman" w:cs="Times New Roman"/>
        </w:rPr>
        <w:t xml:space="preserve"> the theft of $25.30 d</w:t>
      </w:r>
      <w:r w:rsidR="00BA71EE">
        <w:rPr>
          <w:rFonts w:ascii="Times New Roman" w:hAnsi="Times New Roman" w:cs="Times New Roman"/>
        </w:rPr>
        <w:t>id</w:t>
      </w:r>
      <w:r w:rsidR="006D53A1" w:rsidRPr="006D53A1">
        <w:rPr>
          <w:rFonts w:ascii="Times New Roman" w:hAnsi="Times New Roman" w:cs="Times New Roman"/>
        </w:rPr>
        <w:t xml:space="preserve"> not justify a term of imprisonment </w:t>
      </w:r>
      <w:r w:rsidR="00264F74">
        <w:rPr>
          <w:rFonts w:ascii="Times New Roman" w:hAnsi="Times New Roman" w:cs="Times New Roman"/>
        </w:rPr>
        <w:t>and</w:t>
      </w:r>
      <w:r w:rsidR="006D53A1" w:rsidRPr="006D53A1">
        <w:rPr>
          <w:rFonts w:ascii="Times New Roman" w:hAnsi="Times New Roman" w:cs="Times New Roman"/>
        </w:rPr>
        <w:t xml:space="preserve"> was manifestly unjust. </w:t>
      </w:r>
      <w:r w:rsidR="00264F74">
        <w:rPr>
          <w:rFonts w:ascii="Times New Roman" w:hAnsi="Times New Roman" w:cs="Times New Roman"/>
        </w:rPr>
        <w:t>As</w:t>
      </w:r>
      <w:r w:rsidR="006D53A1" w:rsidRPr="006D53A1">
        <w:rPr>
          <w:rFonts w:ascii="Times New Roman" w:hAnsi="Times New Roman" w:cs="Times New Roman"/>
        </w:rPr>
        <w:t xml:space="preserve"> Mr </w:t>
      </w:r>
      <w:proofErr w:type="spellStart"/>
      <w:r w:rsidR="006D53A1" w:rsidRPr="006D53A1">
        <w:rPr>
          <w:rFonts w:ascii="Times New Roman" w:hAnsi="Times New Roman" w:cs="Times New Roman"/>
        </w:rPr>
        <w:t>Te</w:t>
      </w:r>
      <w:proofErr w:type="spellEnd"/>
      <w:r w:rsidR="006D53A1" w:rsidRPr="006D53A1">
        <w:rPr>
          <w:rFonts w:ascii="Times New Roman" w:hAnsi="Times New Roman" w:cs="Times New Roman"/>
        </w:rPr>
        <w:t xml:space="preserve"> </w:t>
      </w:r>
      <w:proofErr w:type="spellStart"/>
      <w:r w:rsidR="006D53A1" w:rsidRPr="006D53A1">
        <w:rPr>
          <w:rFonts w:ascii="Times New Roman" w:hAnsi="Times New Roman" w:cs="Times New Roman"/>
        </w:rPr>
        <w:t>Whatu</w:t>
      </w:r>
      <w:proofErr w:type="spellEnd"/>
      <w:r w:rsidR="006D53A1" w:rsidRPr="006D53A1">
        <w:rPr>
          <w:rFonts w:ascii="Times New Roman" w:hAnsi="Times New Roman" w:cs="Times New Roman"/>
        </w:rPr>
        <w:t xml:space="preserve"> had been i</w:t>
      </w:r>
      <w:r w:rsidR="00264F74">
        <w:rPr>
          <w:rFonts w:ascii="Times New Roman" w:hAnsi="Times New Roman" w:cs="Times New Roman"/>
        </w:rPr>
        <w:t xml:space="preserve">n </w:t>
      </w:r>
      <w:r w:rsidR="006D53A1" w:rsidRPr="006D53A1">
        <w:rPr>
          <w:rFonts w:ascii="Times New Roman" w:hAnsi="Times New Roman" w:cs="Times New Roman"/>
        </w:rPr>
        <w:t xml:space="preserve">prison for six months, Palmer J declined to substitute a different sentence. </w:t>
      </w:r>
      <w:r w:rsidR="0009432E">
        <w:rPr>
          <w:rFonts w:ascii="Times New Roman" w:hAnsi="Times New Roman" w:cs="Times New Roman"/>
        </w:rPr>
        <w:t>Further t</w:t>
      </w:r>
      <w:r w:rsidR="004365E3" w:rsidRPr="00264F74">
        <w:rPr>
          <w:rFonts w:ascii="Times New Roman" w:hAnsi="Times New Roman" w:cs="Times New Roman"/>
        </w:rPr>
        <w:t>he DOC</w:t>
      </w:r>
      <w:r w:rsidR="00BA71EE">
        <w:rPr>
          <w:rFonts w:ascii="Times New Roman" w:hAnsi="Times New Roman" w:cs="Times New Roman"/>
        </w:rPr>
        <w:t>’s</w:t>
      </w:r>
      <w:r w:rsidR="004365E3" w:rsidRPr="00264F74">
        <w:rPr>
          <w:rFonts w:ascii="Times New Roman" w:hAnsi="Times New Roman" w:cs="Times New Roman"/>
        </w:rPr>
        <w:t xml:space="preserve"> direction not to associate with his partner breached Mr </w:t>
      </w:r>
      <w:proofErr w:type="spellStart"/>
      <w:r w:rsidR="004365E3" w:rsidRPr="00264F74">
        <w:rPr>
          <w:rFonts w:ascii="Times New Roman" w:hAnsi="Times New Roman" w:cs="Times New Roman"/>
        </w:rPr>
        <w:t>Te</w:t>
      </w:r>
      <w:proofErr w:type="spellEnd"/>
      <w:r w:rsidR="004365E3" w:rsidRPr="00264F74">
        <w:rPr>
          <w:rFonts w:ascii="Times New Roman" w:hAnsi="Times New Roman" w:cs="Times New Roman"/>
        </w:rPr>
        <w:t xml:space="preserve"> </w:t>
      </w:r>
      <w:proofErr w:type="spellStart"/>
      <w:r w:rsidR="004365E3" w:rsidRPr="00264F74">
        <w:rPr>
          <w:rFonts w:ascii="Times New Roman" w:hAnsi="Times New Roman" w:cs="Times New Roman"/>
        </w:rPr>
        <w:t>Whatu’s</w:t>
      </w:r>
      <w:proofErr w:type="spellEnd"/>
      <w:r w:rsidR="004365E3" w:rsidRPr="00264F74">
        <w:rPr>
          <w:rFonts w:ascii="Times New Roman" w:hAnsi="Times New Roman" w:cs="Times New Roman"/>
        </w:rPr>
        <w:t xml:space="preserve"> righ</w:t>
      </w:r>
      <w:r w:rsidR="00264F74">
        <w:rPr>
          <w:rFonts w:ascii="Times New Roman" w:hAnsi="Times New Roman" w:cs="Times New Roman"/>
        </w:rPr>
        <w:t>t</w:t>
      </w:r>
      <w:r w:rsidR="004365E3" w:rsidRPr="00264F74">
        <w:rPr>
          <w:rFonts w:ascii="Times New Roman" w:hAnsi="Times New Roman" w:cs="Times New Roman"/>
        </w:rPr>
        <w:t xml:space="preserve"> to freedom of association</w:t>
      </w:r>
      <w:r w:rsidR="0009432E">
        <w:rPr>
          <w:rFonts w:ascii="Times New Roman" w:hAnsi="Times New Roman" w:cs="Times New Roman"/>
        </w:rPr>
        <w:t>, w</w:t>
      </w:r>
      <w:r w:rsidR="00264F74">
        <w:rPr>
          <w:rFonts w:ascii="Times New Roman" w:hAnsi="Times New Roman" w:cs="Times New Roman"/>
        </w:rPr>
        <w:t>a</w:t>
      </w:r>
      <w:r w:rsidR="004365E3" w:rsidRPr="00264F74">
        <w:rPr>
          <w:rFonts w:ascii="Times New Roman" w:hAnsi="Times New Roman" w:cs="Times New Roman"/>
        </w:rPr>
        <w:t>s too broad an</w:t>
      </w:r>
      <w:r w:rsidR="00264F74" w:rsidRPr="00264F74">
        <w:rPr>
          <w:rFonts w:ascii="Times New Roman" w:hAnsi="Times New Roman" w:cs="Times New Roman"/>
        </w:rPr>
        <w:t>d</w:t>
      </w:r>
      <w:r w:rsidR="004365E3" w:rsidRPr="00264F74">
        <w:rPr>
          <w:rFonts w:ascii="Times New Roman" w:hAnsi="Times New Roman" w:cs="Times New Roman"/>
        </w:rPr>
        <w:t xml:space="preserve"> </w:t>
      </w:r>
      <w:r w:rsidR="00BA71EE">
        <w:rPr>
          <w:rFonts w:ascii="Times New Roman" w:hAnsi="Times New Roman" w:cs="Times New Roman"/>
        </w:rPr>
        <w:t xml:space="preserve">a </w:t>
      </w:r>
      <w:r w:rsidR="004365E3" w:rsidRPr="00264F74">
        <w:rPr>
          <w:rFonts w:ascii="Times New Roman" w:hAnsi="Times New Roman" w:cs="Times New Roman"/>
        </w:rPr>
        <w:t xml:space="preserve">disproportionate response. </w:t>
      </w:r>
      <w:r w:rsidR="00BA71EE">
        <w:rPr>
          <w:rFonts w:ascii="Times New Roman" w:hAnsi="Times New Roman" w:cs="Times New Roman"/>
        </w:rPr>
        <w:t>I</w:t>
      </w:r>
      <w:r w:rsidR="004365E3" w:rsidRPr="00264F74">
        <w:rPr>
          <w:rFonts w:ascii="Times New Roman" w:hAnsi="Times New Roman" w:cs="Times New Roman"/>
        </w:rPr>
        <w:t xml:space="preserve">t was </w:t>
      </w:r>
      <w:r w:rsidR="0000165E">
        <w:rPr>
          <w:rFonts w:ascii="Times New Roman" w:hAnsi="Times New Roman" w:cs="Times New Roman"/>
        </w:rPr>
        <w:t xml:space="preserve">therefore </w:t>
      </w:r>
      <w:r w:rsidR="004365E3" w:rsidRPr="00264F74">
        <w:rPr>
          <w:rFonts w:ascii="Times New Roman" w:hAnsi="Times New Roman" w:cs="Times New Roman"/>
        </w:rPr>
        <w:t xml:space="preserve">unlawful and Mr </w:t>
      </w:r>
      <w:proofErr w:type="spellStart"/>
      <w:r w:rsidR="004365E3" w:rsidRPr="00264F74">
        <w:rPr>
          <w:rFonts w:ascii="Times New Roman" w:hAnsi="Times New Roman" w:cs="Times New Roman"/>
        </w:rPr>
        <w:t>Te</w:t>
      </w:r>
      <w:proofErr w:type="spellEnd"/>
      <w:r w:rsidR="004365E3" w:rsidRPr="00264F74">
        <w:rPr>
          <w:rFonts w:ascii="Times New Roman" w:hAnsi="Times New Roman" w:cs="Times New Roman"/>
        </w:rPr>
        <w:t xml:space="preserve"> </w:t>
      </w:r>
      <w:proofErr w:type="spellStart"/>
      <w:r w:rsidR="004365E3" w:rsidRPr="00264F74">
        <w:rPr>
          <w:rFonts w:ascii="Times New Roman" w:hAnsi="Times New Roman" w:cs="Times New Roman"/>
        </w:rPr>
        <w:t>Whatu’</w:t>
      </w:r>
      <w:r w:rsidR="00864885">
        <w:rPr>
          <w:rFonts w:ascii="Times New Roman" w:hAnsi="Times New Roman" w:cs="Times New Roman"/>
        </w:rPr>
        <w:t>s</w:t>
      </w:r>
      <w:proofErr w:type="spellEnd"/>
      <w:r w:rsidR="004365E3" w:rsidRPr="00264F74">
        <w:rPr>
          <w:rFonts w:ascii="Times New Roman" w:hAnsi="Times New Roman" w:cs="Times New Roman"/>
        </w:rPr>
        <w:t xml:space="preserve"> conviction was a miscarriage of justice</w:t>
      </w:r>
      <w:r w:rsidR="0009432E">
        <w:rPr>
          <w:rFonts w:ascii="Times New Roman" w:hAnsi="Times New Roman" w:cs="Times New Roman"/>
        </w:rPr>
        <w:t>. T</w:t>
      </w:r>
      <w:r w:rsidR="0000165E">
        <w:rPr>
          <w:rFonts w:ascii="Times New Roman" w:hAnsi="Times New Roman" w:cs="Times New Roman"/>
        </w:rPr>
        <w:t xml:space="preserve">he </w:t>
      </w:r>
      <w:r w:rsidR="0000165E" w:rsidRPr="006D53A1">
        <w:rPr>
          <w:rFonts w:ascii="Times New Roman" w:hAnsi="Times New Roman" w:cs="Times New Roman"/>
        </w:rPr>
        <w:t>s</w:t>
      </w:r>
      <w:r w:rsidR="0000165E">
        <w:rPr>
          <w:rFonts w:ascii="Times New Roman" w:hAnsi="Times New Roman" w:cs="Times New Roman"/>
        </w:rPr>
        <w:t>en</w:t>
      </w:r>
      <w:r w:rsidR="0000165E" w:rsidRPr="006D53A1">
        <w:rPr>
          <w:rFonts w:ascii="Times New Roman" w:hAnsi="Times New Roman" w:cs="Times New Roman"/>
        </w:rPr>
        <w:t>t</w:t>
      </w:r>
      <w:r w:rsidR="0000165E">
        <w:rPr>
          <w:rFonts w:ascii="Times New Roman" w:hAnsi="Times New Roman" w:cs="Times New Roman"/>
        </w:rPr>
        <w:t>ence of</w:t>
      </w:r>
      <w:r w:rsidR="0000165E" w:rsidRPr="006D53A1">
        <w:rPr>
          <w:rFonts w:ascii="Times New Roman" w:hAnsi="Times New Roman" w:cs="Times New Roman"/>
        </w:rPr>
        <w:t xml:space="preserve"> two month’s imprisonment for taking $25.30 was</w:t>
      </w:r>
      <w:r w:rsidR="0000165E">
        <w:rPr>
          <w:rFonts w:ascii="Times New Roman" w:hAnsi="Times New Roman" w:cs="Times New Roman"/>
        </w:rPr>
        <w:t xml:space="preserve"> </w:t>
      </w:r>
      <w:r w:rsidR="0000165E" w:rsidRPr="006D53A1">
        <w:rPr>
          <w:rFonts w:ascii="Times New Roman" w:hAnsi="Times New Roman" w:cs="Times New Roman"/>
        </w:rPr>
        <w:t>manifestly excessive</w:t>
      </w:r>
      <w:r w:rsidR="0000165E">
        <w:rPr>
          <w:rFonts w:ascii="Times New Roman" w:hAnsi="Times New Roman" w:cs="Times New Roman"/>
        </w:rPr>
        <w:t xml:space="preserve">. </w:t>
      </w:r>
      <w:r w:rsidR="00264F74" w:rsidRPr="00264F74">
        <w:rPr>
          <w:rFonts w:ascii="Times New Roman" w:hAnsi="Times New Roman" w:cs="Times New Roman"/>
        </w:rPr>
        <w:t xml:space="preserve">Palmer J declared Mr </w:t>
      </w:r>
      <w:proofErr w:type="spellStart"/>
      <w:r w:rsidR="00264F74" w:rsidRPr="00264F74">
        <w:rPr>
          <w:rFonts w:ascii="Times New Roman" w:hAnsi="Times New Roman" w:cs="Times New Roman"/>
        </w:rPr>
        <w:t>Te</w:t>
      </w:r>
      <w:proofErr w:type="spellEnd"/>
      <w:r w:rsidR="00264F74" w:rsidRPr="00264F74">
        <w:rPr>
          <w:rFonts w:ascii="Times New Roman" w:hAnsi="Times New Roman" w:cs="Times New Roman"/>
        </w:rPr>
        <w:t xml:space="preserve"> </w:t>
      </w:r>
      <w:proofErr w:type="spellStart"/>
      <w:r w:rsidR="00264F74" w:rsidRPr="00264F74">
        <w:rPr>
          <w:rFonts w:ascii="Times New Roman" w:hAnsi="Times New Roman" w:cs="Times New Roman"/>
        </w:rPr>
        <w:t>Whatu</w:t>
      </w:r>
      <w:proofErr w:type="spellEnd"/>
      <w:r w:rsidR="00264F74" w:rsidRPr="00264F74">
        <w:rPr>
          <w:rFonts w:ascii="Times New Roman" w:hAnsi="Times New Roman" w:cs="Times New Roman"/>
        </w:rPr>
        <w:t xml:space="preserve"> </w:t>
      </w:r>
      <w:r w:rsidR="00AF2367">
        <w:rPr>
          <w:rFonts w:ascii="Times New Roman" w:hAnsi="Times New Roman" w:cs="Times New Roman"/>
        </w:rPr>
        <w:t xml:space="preserve">was </w:t>
      </w:r>
      <w:r w:rsidR="00264F74" w:rsidRPr="00264F74">
        <w:rPr>
          <w:rFonts w:ascii="Times New Roman" w:hAnsi="Times New Roman" w:cs="Times New Roman"/>
        </w:rPr>
        <w:t>free to associate with his partner</w:t>
      </w:r>
      <w:r w:rsidR="00AF2367">
        <w:rPr>
          <w:rFonts w:ascii="Times New Roman" w:hAnsi="Times New Roman" w:cs="Times New Roman"/>
        </w:rPr>
        <w:t xml:space="preserve"> although </w:t>
      </w:r>
      <w:r w:rsidR="00264F74" w:rsidRPr="00264F74">
        <w:rPr>
          <w:rFonts w:ascii="Times New Roman" w:hAnsi="Times New Roman" w:cs="Times New Roman"/>
        </w:rPr>
        <w:t xml:space="preserve">he </w:t>
      </w:r>
      <w:r w:rsidR="0009432E">
        <w:rPr>
          <w:rFonts w:ascii="Times New Roman" w:hAnsi="Times New Roman" w:cs="Times New Roman"/>
        </w:rPr>
        <w:t xml:space="preserve">was </w:t>
      </w:r>
      <w:r w:rsidR="00264F74" w:rsidRPr="00264F74">
        <w:rPr>
          <w:rFonts w:ascii="Times New Roman" w:hAnsi="Times New Roman" w:cs="Times New Roman"/>
        </w:rPr>
        <w:t>t</w:t>
      </w:r>
      <w:r w:rsidR="0009432E">
        <w:rPr>
          <w:rFonts w:ascii="Times New Roman" w:hAnsi="Times New Roman" w:cs="Times New Roman"/>
        </w:rPr>
        <w:t>o</w:t>
      </w:r>
      <w:r w:rsidR="00264F74" w:rsidRPr="00264F74">
        <w:rPr>
          <w:rFonts w:ascii="Times New Roman" w:hAnsi="Times New Roman" w:cs="Times New Roman"/>
        </w:rPr>
        <w:t xml:space="preserve"> continue to comply with the ESO’s restrictions, including no contact with children. </w:t>
      </w:r>
    </w:p>
    <w:p w:rsidR="00372480" w:rsidRDefault="00372480" w:rsidP="00372480">
      <w:pPr>
        <w:jc w:val="both"/>
        <w:rPr>
          <w:rStyle w:val="Hyperlink"/>
          <w:rFonts w:ascii="Times New Roman" w:hAnsi="Times New Roman" w:cs="Times New Roman"/>
          <w:color w:val="00B0F0"/>
          <w:u w:val="none"/>
        </w:rPr>
      </w:pPr>
      <w:proofErr w:type="spellStart"/>
      <w:r w:rsidRPr="00180B19">
        <w:rPr>
          <w:rStyle w:val="Hyperlink"/>
          <w:rFonts w:ascii="Times New Roman" w:hAnsi="Times New Roman" w:cs="Times New Roman"/>
          <w:color w:val="00B0F0"/>
          <w:u w:val="none"/>
        </w:rPr>
        <w:t>Genge</w:t>
      </w:r>
      <w:proofErr w:type="spellEnd"/>
      <w:r w:rsidRPr="00180B19">
        <w:rPr>
          <w:rStyle w:val="Hyperlink"/>
          <w:rFonts w:ascii="Times New Roman" w:hAnsi="Times New Roman" w:cs="Times New Roman"/>
          <w:color w:val="00B0F0"/>
          <w:u w:val="none"/>
        </w:rPr>
        <w:t xml:space="preserve"> v Chief Executive, Department of Corrections [2018] NZHC 1447</w:t>
      </w:r>
    </w:p>
    <w:p w:rsidR="00180B19" w:rsidRPr="00180B19" w:rsidRDefault="00180B19" w:rsidP="00372480">
      <w:pPr>
        <w:jc w:val="both"/>
        <w:rPr>
          <w:rStyle w:val="Hyperlink"/>
          <w:rFonts w:ascii="Times New Roman" w:hAnsi="Times New Roman" w:cs="Times New Roman"/>
          <w:i/>
          <w:color w:val="auto"/>
          <w:u w:val="none"/>
        </w:rPr>
      </w:pPr>
      <w:r w:rsidRPr="00180B19">
        <w:rPr>
          <w:rStyle w:val="Hyperlink"/>
          <w:rFonts w:ascii="Times New Roman" w:hAnsi="Times New Roman" w:cs="Times New Roman"/>
          <w:i/>
          <w:color w:val="auto"/>
          <w:u w:val="none"/>
        </w:rPr>
        <w:t xml:space="preserve">Right to </w:t>
      </w:r>
      <w:r>
        <w:rPr>
          <w:rStyle w:val="Hyperlink"/>
          <w:rFonts w:ascii="Times New Roman" w:hAnsi="Times New Roman" w:cs="Times New Roman"/>
          <w:i/>
          <w:color w:val="auto"/>
          <w:u w:val="none"/>
        </w:rPr>
        <w:t>rehabilitation</w:t>
      </w:r>
      <w:r w:rsidRPr="00180B19">
        <w:rPr>
          <w:rStyle w:val="Hyperlink"/>
          <w:rFonts w:ascii="Times New Roman" w:hAnsi="Times New Roman" w:cs="Times New Roman"/>
          <w:i/>
          <w:color w:val="auto"/>
          <w:u w:val="none"/>
        </w:rPr>
        <w:t xml:space="preserve"> </w:t>
      </w:r>
    </w:p>
    <w:p w:rsidR="00A939D3" w:rsidRDefault="00372480" w:rsidP="00372480">
      <w:pPr>
        <w:jc w:val="both"/>
        <w:rPr>
          <w:rStyle w:val="Hyperlink"/>
          <w:rFonts w:ascii="Times New Roman" w:hAnsi="Times New Roman" w:cs="Times New Roman"/>
          <w:color w:val="auto"/>
          <w:u w:val="none"/>
        </w:rPr>
      </w:pPr>
      <w:r w:rsidRPr="00372480">
        <w:rPr>
          <w:rStyle w:val="Hyperlink"/>
          <w:rFonts w:ascii="Times New Roman" w:hAnsi="Times New Roman" w:cs="Times New Roman"/>
          <w:color w:val="auto"/>
          <w:u w:val="none"/>
        </w:rPr>
        <w:t xml:space="preserve">Mr </w:t>
      </w:r>
      <w:proofErr w:type="spellStart"/>
      <w:r w:rsidRPr="00372480">
        <w:rPr>
          <w:rStyle w:val="Hyperlink"/>
          <w:rFonts w:ascii="Times New Roman" w:hAnsi="Times New Roman" w:cs="Times New Roman"/>
          <w:color w:val="auto"/>
          <w:u w:val="none"/>
        </w:rPr>
        <w:t>Genge</w:t>
      </w:r>
      <w:proofErr w:type="spellEnd"/>
      <w:r w:rsidRPr="00372480">
        <w:rPr>
          <w:rStyle w:val="Hyperlink"/>
          <w:rFonts w:ascii="Times New Roman" w:hAnsi="Times New Roman" w:cs="Times New Roman"/>
          <w:color w:val="auto"/>
          <w:u w:val="none"/>
        </w:rPr>
        <w:t xml:space="preserve"> was sentenced to life imprisonment for murder and rape in 1995 with a minimum non-parole period of 15 years. He remains in prison, having been repeatedly rejected for release because he refuses to cooperate with Departmental Psychologists or attend appropriate rehabilitative programmes arguing they were incompatible with his specific needs.</w:t>
      </w:r>
    </w:p>
    <w:p w:rsidR="00372480" w:rsidRPr="00372480" w:rsidRDefault="00372480" w:rsidP="00372480">
      <w:pPr>
        <w:jc w:val="both"/>
        <w:rPr>
          <w:rStyle w:val="Hyperlink"/>
          <w:rFonts w:ascii="Times New Roman" w:hAnsi="Times New Roman" w:cs="Times New Roman"/>
          <w:color w:val="auto"/>
          <w:u w:val="none"/>
        </w:rPr>
      </w:pPr>
      <w:r w:rsidRPr="00372480">
        <w:rPr>
          <w:rStyle w:val="Hyperlink"/>
          <w:rFonts w:ascii="Times New Roman" w:hAnsi="Times New Roman" w:cs="Times New Roman"/>
          <w:color w:val="auto"/>
          <w:u w:val="none"/>
        </w:rPr>
        <w:t>He asked the Court to make a declaration that he was arbitrarily detained, citing the statutory obligation under the Corrections Act 2004 to provide rehabilitation to “those who will benefit from the programmes”</w:t>
      </w:r>
      <w:r w:rsidRPr="00372480">
        <w:rPr>
          <w:rStyle w:val="FootnoteReference"/>
          <w:rFonts w:ascii="Times New Roman" w:hAnsi="Times New Roman" w:cs="Times New Roman"/>
        </w:rPr>
        <w:footnoteReference w:id="24"/>
      </w:r>
      <w:r w:rsidRPr="00372480">
        <w:rPr>
          <w:rStyle w:val="Hyperlink"/>
          <w:rFonts w:ascii="Times New Roman" w:hAnsi="Times New Roman" w:cs="Times New Roman"/>
          <w:color w:val="auto"/>
          <w:u w:val="none"/>
        </w:rPr>
        <w:t xml:space="preserve">and article 10(3) of the ICCPR which requires States to have penitentiary systems that have as their essential treatment of prisoners “reformation and social rehabilitation”. Despite Corrections offering him access to rehabilitative programmes and services, Mr </w:t>
      </w:r>
      <w:proofErr w:type="spellStart"/>
      <w:r w:rsidRPr="00372480">
        <w:rPr>
          <w:rStyle w:val="Hyperlink"/>
          <w:rFonts w:ascii="Times New Roman" w:hAnsi="Times New Roman" w:cs="Times New Roman"/>
          <w:color w:val="auto"/>
          <w:u w:val="none"/>
        </w:rPr>
        <w:t>Genge</w:t>
      </w:r>
      <w:proofErr w:type="spellEnd"/>
      <w:r w:rsidRPr="00372480">
        <w:rPr>
          <w:rStyle w:val="Hyperlink"/>
          <w:rFonts w:ascii="Times New Roman" w:hAnsi="Times New Roman" w:cs="Times New Roman"/>
          <w:color w:val="auto"/>
          <w:u w:val="none"/>
        </w:rPr>
        <w:t xml:space="preserve"> has continually been obstructive, stating that he did not want to be in a situation where he was “dealing with other people’s issues” and he needed one on one counselling “on his own terms”. </w:t>
      </w:r>
    </w:p>
    <w:p w:rsidR="00372480" w:rsidRPr="00372480" w:rsidRDefault="00372480" w:rsidP="00372480">
      <w:pPr>
        <w:jc w:val="both"/>
        <w:rPr>
          <w:rFonts w:ascii="Times New Roman" w:hAnsi="Times New Roman" w:cs="Times New Roman"/>
        </w:rPr>
      </w:pPr>
      <w:r w:rsidRPr="00372480">
        <w:rPr>
          <w:rStyle w:val="Hyperlink"/>
          <w:rFonts w:ascii="Times New Roman" w:hAnsi="Times New Roman" w:cs="Times New Roman"/>
          <w:color w:val="auto"/>
          <w:u w:val="none"/>
        </w:rPr>
        <w:t xml:space="preserve">Judge Clarke dismissed his argument stating there was no evidence that he had not been offered opportunities to engage in rehabilitative programmes which would have enhanced his eligibility for parole. In relation to the claim under the ICCPR the Judge referred to the case noted above in relation to the UN Human Rights Committee stating, however, that it could be distinguished as the international jurisprudence recognises that a prisoner’s refusal to engage in appropriate rehabilitative activities can contribute significantly to delayed release. Here the determinant in Mr </w:t>
      </w:r>
      <w:proofErr w:type="spellStart"/>
      <w:r w:rsidRPr="00372480">
        <w:rPr>
          <w:rStyle w:val="Hyperlink"/>
          <w:rFonts w:ascii="Times New Roman" w:hAnsi="Times New Roman" w:cs="Times New Roman"/>
          <w:color w:val="auto"/>
          <w:u w:val="none"/>
        </w:rPr>
        <w:t>Genge’s</w:t>
      </w:r>
      <w:proofErr w:type="spellEnd"/>
      <w:r w:rsidRPr="00372480">
        <w:rPr>
          <w:rStyle w:val="Hyperlink"/>
          <w:rFonts w:ascii="Times New Roman" w:hAnsi="Times New Roman" w:cs="Times New Roman"/>
          <w:color w:val="auto"/>
          <w:u w:val="none"/>
        </w:rPr>
        <w:t xml:space="preserve"> delayed release was his unwillingness to back down from his refusal to engage in group treatment</w:t>
      </w:r>
      <w:r w:rsidRPr="00372480">
        <w:rPr>
          <w:rStyle w:val="FootnoteReference"/>
          <w:rFonts w:ascii="Times New Roman" w:hAnsi="Times New Roman" w:cs="Times New Roman"/>
        </w:rPr>
        <w:footnoteReference w:id="25"/>
      </w:r>
      <w:r w:rsidRPr="00372480">
        <w:rPr>
          <w:rStyle w:val="Hyperlink"/>
          <w:rFonts w:ascii="Times New Roman" w:hAnsi="Times New Roman" w:cs="Times New Roman"/>
          <w:color w:val="auto"/>
          <w:u w:val="none"/>
        </w:rPr>
        <w:t>.</w:t>
      </w:r>
      <w:r w:rsidR="000C37F5">
        <w:rPr>
          <w:rStyle w:val="Hyperlink"/>
          <w:rFonts w:ascii="Times New Roman" w:hAnsi="Times New Roman" w:cs="Times New Roman"/>
          <w:color w:val="auto"/>
          <w:u w:val="none"/>
        </w:rPr>
        <w:t xml:space="preserve"> </w:t>
      </w:r>
      <w:r w:rsidRPr="00372480">
        <w:rPr>
          <w:rFonts w:ascii="Times New Roman" w:hAnsi="Times New Roman" w:cs="Times New Roman"/>
        </w:rPr>
        <w:t xml:space="preserve">A further ground of review relating to the Parole Act was </w:t>
      </w:r>
      <w:r w:rsidR="000C37F5">
        <w:rPr>
          <w:rFonts w:ascii="Times New Roman" w:hAnsi="Times New Roman" w:cs="Times New Roman"/>
        </w:rPr>
        <w:t xml:space="preserve">considered </w:t>
      </w:r>
      <w:r w:rsidRPr="00372480">
        <w:rPr>
          <w:rFonts w:ascii="Times New Roman" w:hAnsi="Times New Roman" w:cs="Times New Roman"/>
        </w:rPr>
        <w:t>a collateral challenge to concluded proceedings and therefore an abuse of process.</w:t>
      </w:r>
    </w:p>
    <w:p w:rsidR="00372480" w:rsidRDefault="00372480" w:rsidP="00372480">
      <w:pPr>
        <w:jc w:val="both"/>
        <w:rPr>
          <w:rFonts w:ascii="Times New Roman" w:hAnsi="Times New Roman" w:cs="Times New Roman"/>
        </w:rPr>
      </w:pPr>
      <w:r w:rsidRPr="00433CF5">
        <w:rPr>
          <w:rFonts w:ascii="Times New Roman" w:hAnsi="Times New Roman" w:cs="Times New Roman"/>
        </w:rPr>
        <w:t xml:space="preserve">In May this year </w:t>
      </w:r>
      <w:r w:rsidR="000643EF">
        <w:rPr>
          <w:rFonts w:ascii="Times New Roman" w:hAnsi="Times New Roman" w:cs="Times New Roman"/>
        </w:rPr>
        <w:t xml:space="preserve">Mr </w:t>
      </w:r>
      <w:proofErr w:type="spellStart"/>
      <w:r w:rsidR="000643EF">
        <w:rPr>
          <w:rFonts w:ascii="Times New Roman" w:hAnsi="Times New Roman" w:cs="Times New Roman"/>
        </w:rPr>
        <w:t>Genge</w:t>
      </w:r>
      <w:proofErr w:type="spellEnd"/>
      <w:r w:rsidR="000643EF">
        <w:rPr>
          <w:rFonts w:ascii="Times New Roman" w:hAnsi="Times New Roman" w:cs="Times New Roman"/>
        </w:rPr>
        <w:t xml:space="preserve"> </w:t>
      </w:r>
      <w:r w:rsidRPr="00433CF5">
        <w:rPr>
          <w:rFonts w:ascii="Times New Roman" w:hAnsi="Times New Roman" w:cs="Times New Roman"/>
        </w:rPr>
        <w:t xml:space="preserve">filed proceedings challenging a decision by a Visiting Justice in which he had been found guilty of breaching a prison rule forbidding prisoners from sparring or fighting in prison. </w:t>
      </w:r>
      <w:r w:rsidR="000643EF">
        <w:rPr>
          <w:rFonts w:ascii="Times New Roman" w:hAnsi="Times New Roman" w:cs="Times New Roman"/>
        </w:rPr>
        <w:t>H</w:t>
      </w:r>
      <w:r w:rsidRPr="00433CF5">
        <w:rPr>
          <w:rFonts w:ascii="Times New Roman" w:hAnsi="Times New Roman" w:cs="Times New Roman"/>
        </w:rPr>
        <w:t xml:space="preserve">e challenged the legality of the rule. </w:t>
      </w:r>
      <w:r w:rsidR="000643EF">
        <w:rPr>
          <w:rFonts w:ascii="Times New Roman" w:hAnsi="Times New Roman" w:cs="Times New Roman"/>
        </w:rPr>
        <w:t>While h</w:t>
      </w:r>
      <w:r w:rsidRPr="00433CF5">
        <w:rPr>
          <w:rFonts w:ascii="Times New Roman" w:hAnsi="Times New Roman" w:cs="Times New Roman"/>
        </w:rPr>
        <w:t>e didn’t deny he had been sparring</w:t>
      </w:r>
      <w:r w:rsidR="000643EF">
        <w:rPr>
          <w:rFonts w:ascii="Times New Roman" w:hAnsi="Times New Roman" w:cs="Times New Roman"/>
        </w:rPr>
        <w:t>, he</w:t>
      </w:r>
      <w:r w:rsidRPr="00433CF5">
        <w:rPr>
          <w:rFonts w:ascii="Times New Roman" w:hAnsi="Times New Roman" w:cs="Times New Roman"/>
        </w:rPr>
        <w:t xml:space="preserve"> claimed that it was exercise and if </w:t>
      </w:r>
      <w:r>
        <w:rPr>
          <w:rFonts w:ascii="Times New Roman" w:hAnsi="Times New Roman" w:cs="Times New Roman"/>
        </w:rPr>
        <w:t>a</w:t>
      </w:r>
      <w:r w:rsidRPr="00433CF5">
        <w:rPr>
          <w:rFonts w:ascii="Times New Roman" w:hAnsi="Times New Roman" w:cs="Times New Roman"/>
        </w:rPr>
        <w:t xml:space="preserve"> regulation banned fighting motions for the purpose of fitness training it was invalid because s.70 of the Corrections Act </w:t>
      </w:r>
      <w:r w:rsidR="000643EF">
        <w:rPr>
          <w:rFonts w:ascii="Times New Roman" w:hAnsi="Times New Roman" w:cs="Times New Roman"/>
        </w:rPr>
        <w:t xml:space="preserve">which </w:t>
      </w:r>
      <w:r w:rsidRPr="00433CF5">
        <w:rPr>
          <w:rFonts w:ascii="Times New Roman" w:hAnsi="Times New Roman" w:cs="Times New Roman"/>
        </w:rPr>
        <w:t xml:space="preserve">provides that every prisoner is entitled to at least one hour of physical exercise a day. He was unsuccessful, the prohibition </w:t>
      </w:r>
      <w:r w:rsidR="000643EF">
        <w:rPr>
          <w:rFonts w:ascii="Times New Roman" w:hAnsi="Times New Roman" w:cs="Times New Roman"/>
        </w:rPr>
        <w:t>being</w:t>
      </w:r>
      <w:r w:rsidRPr="00433CF5">
        <w:rPr>
          <w:rFonts w:ascii="Times New Roman" w:hAnsi="Times New Roman" w:cs="Times New Roman"/>
        </w:rPr>
        <w:t xml:space="preserve"> justified for safety reasons.</w:t>
      </w:r>
    </w:p>
    <w:p w:rsidR="000643EF" w:rsidRPr="00F11384" w:rsidRDefault="00372480" w:rsidP="000643EF">
      <w:pPr>
        <w:jc w:val="both"/>
        <w:rPr>
          <w:rFonts w:ascii="Times New Roman" w:hAnsi="Times New Roman" w:cs="Times New Roman"/>
          <w:color w:val="00B0F0"/>
        </w:rPr>
      </w:pPr>
      <w:r w:rsidRPr="00433CF5">
        <w:rPr>
          <w:rFonts w:ascii="Times New Roman" w:hAnsi="Times New Roman" w:cs="Times New Roman"/>
        </w:rPr>
        <w:t xml:space="preserve">In the course of the decision Nation J stated that Mr </w:t>
      </w:r>
      <w:proofErr w:type="spellStart"/>
      <w:r w:rsidRPr="00433CF5">
        <w:rPr>
          <w:rFonts w:ascii="Times New Roman" w:hAnsi="Times New Roman" w:cs="Times New Roman"/>
        </w:rPr>
        <w:t>Genge</w:t>
      </w:r>
      <w:proofErr w:type="spellEnd"/>
      <w:r w:rsidRPr="00433CF5">
        <w:rPr>
          <w:rFonts w:ascii="Times New Roman" w:hAnsi="Times New Roman" w:cs="Times New Roman"/>
        </w:rPr>
        <w:t xml:space="preserve"> had become a habitual complainant, using the judicial review process (for the most part) </w:t>
      </w:r>
      <w:r>
        <w:rPr>
          <w:rFonts w:ascii="Times New Roman" w:hAnsi="Times New Roman" w:cs="Times New Roman"/>
        </w:rPr>
        <w:t xml:space="preserve">to </w:t>
      </w:r>
      <w:r w:rsidRPr="00433CF5">
        <w:rPr>
          <w:rFonts w:ascii="Times New Roman" w:hAnsi="Times New Roman" w:cs="Times New Roman"/>
        </w:rPr>
        <w:t xml:space="preserve">unsuccessfully challenge disciplinary decisions made against him by Visiting Justices. </w:t>
      </w:r>
      <w:r>
        <w:rPr>
          <w:rFonts w:ascii="Times New Roman" w:hAnsi="Times New Roman" w:cs="Times New Roman"/>
        </w:rPr>
        <w:t>T</w:t>
      </w:r>
      <w:r w:rsidRPr="00433CF5">
        <w:rPr>
          <w:rFonts w:ascii="Times New Roman" w:hAnsi="Times New Roman" w:cs="Times New Roman"/>
        </w:rPr>
        <w:t xml:space="preserve">he </w:t>
      </w:r>
      <w:r>
        <w:rPr>
          <w:rFonts w:ascii="Times New Roman" w:hAnsi="Times New Roman" w:cs="Times New Roman"/>
        </w:rPr>
        <w:t xml:space="preserve">Judge observed that the </w:t>
      </w:r>
      <w:r w:rsidRPr="00433CF5">
        <w:rPr>
          <w:rFonts w:ascii="Times New Roman" w:hAnsi="Times New Roman" w:cs="Times New Roman"/>
        </w:rPr>
        <w:t>prison disciplinary process provide</w:t>
      </w:r>
      <w:r>
        <w:rPr>
          <w:rFonts w:ascii="Times New Roman" w:hAnsi="Times New Roman" w:cs="Times New Roman"/>
        </w:rPr>
        <w:t>d</w:t>
      </w:r>
      <w:r w:rsidRPr="00433CF5">
        <w:rPr>
          <w:rFonts w:ascii="Times New Roman" w:hAnsi="Times New Roman" w:cs="Times New Roman"/>
        </w:rPr>
        <w:t xml:space="preserve"> an efficient and relatively informal way of dealing with disciplinary offences and Mr </w:t>
      </w:r>
      <w:proofErr w:type="spellStart"/>
      <w:r w:rsidRPr="00433CF5">
        <w:rPr>
          <w:rFonts w:ascii="Times New Roman" w:hAnsi="Times New Roman" w:cs="Times New Roman"/>
        </w:rPr>
        <w:t>Genge’s</w:t>
      </w:r>
      <w:proofErr w:type="spellEnd"/>
      <w:r w:rsidRPr="00433CF5">
        <w:rPr>
          <w:rFonts w:ascii="Times New Roman" w:hAnsi="Times New Roman" w:cs="Times New Roman"/>
        </w:rPr>
        <w:t xml:space="preserve"> practice of filing judicial review proceedings to challenge decisions that he did not like ran counter to all that the Corrections Act and regulations were designed to achieve. Accordingly, the Judge used the power under the Senior Courts Act 2016 to make an order restricting Mr </w:t>
      </w:r>
      <w:proofErr w:type="spellStart"/>
      <w:r w:rsidRPr="00433CF5">
        <w:rPr>
          <w:rFonts w:ascii="Times New Roman" w:hAnsi="Times New Roman" w:cs="Times New Roman"/>
        </w:rPr>
        <w:t>Genge</w:t>
      </w:r>
      <w:proofErr w:type="spellEnd"/>
      <w:r w:rsidRPr="00433CF5">
        <w:rPr>
          <w:rFonts w:ascii="Times New Roman" w:hAnsi="Times New Roman" w:cs="Times New Roman"/>
        </w:rPr>
        <w:t xml:space="preserve"> from commencing civil proceedings for three </w:t>
      </w:r>
      <w:r w:rsidRPr="000643EF">
        <w:rPr>
          <w:rFonts w:ascii="Times New Roman" w:hAnsi="Times New Roman" w:cs="Times New Roman"/>
        </w:rPr>
        <w:t>years</w:t>
      </w:r>
      <w:r w:rsidR="000643EF" w:rsidRPr="000643EF">
        <w:rPr>
          <w:rFonts w:ascii="Times New Roman" w:hAnsi="Times New Roman" w:cs="Times New Roman"/>
        </w:rPr>
        <w:t xml:space="preserve"> </w:t>
      </w:r>
      <w:r w:rsidR="000643EF">
        <w:rPr>
          <w:rFonts w:ascii="Times New Roman" w:hAnsi="Times New Roman" w:cs="Times New Roman"/>
        </w:rPr>
        <w:t>c</w:t>
      </w:r>
      <w:r w:rsidR="000643EF" w:rsidRPr="000643EF">
        <w:rPr>
          <w:rFonts w:ascii="Times New Roman" w:eastAsia="Times New Roman" w:hAnsi="Times New Roman" w:cs="Times New Roman"/>
          <w:lang w:eastAsia="en-NZ"/>
        </w:rPr>
        <w:t>hallenging validity of any part prison disciplinary process</w:t>
      </w:r>
      <w:r w:rsidRPr="00433CF5">
        <w:rPr>
          <w:rFonts w:ascii="Times New Roman" w:hAnsi="Times New Roman" w:cs="Times New Roman"/>
        </w:rPr>
        <w:t xml:space="preserve">: </w:t>
      </w:r>
      <w:proofErr w:type="spellStart"/>
      <w:r w:rsidRPr="00F11384">
        <w:rPr>
          <w:rFonts w:ascii="Times New Roman" w:hAnsi="Times New Roman" w:cs="Times New Roman"/>
          <w:color w:val="00B0F0"/>
        </w:rPr>
        <w:t>Genge</w:t>
      </w:r>
      <w:proofErr w:type="spellEnd"/>
      <w:r w:rsidRPr="00F11384">
        <w:rPr>
          <w:rFonts w:ascii="Times New Roman" w:hAnsi="Times New Roman" w:cs="Times New Roman"/>
          <w:color w:val="00B0F0"/>
        </w:rPr>
        <w:t xml:space="preserve"> v Visiting Justice, Christchurch Men’s Prison [2018] NZHC 1457</w:t>
      </w:r>
      <w:r w:rsidR="000643EF" w:rsidRPr="00F11384">
        <w:rPr>
          <w:rFonts w:ascii="Times New Roman" w:hAnsi="Times New Roman" w:cs="Times New Roman"/>
          <w:color w:val="00B0F0"/>
        </w:rPr>
        <w:t xml:space="preserve">. </w:t>
      </w:r>
    </w:p>
    <w:p w:rsidR="00372480" w:rsidRPr="00F11384" w:rsidRDefault="000643EF" w:rsidP="00A939D3">
      <w:pPr>
        <w:jc w:val="both"/>
        <w:rPr>
          <w:rFonts w:ascii="Times New Roman" w:hAnsi="Times New Roman" w:cs="Times New Roman"/>
          <w:color w:val="00B0F0"/>
        </w:rPr>
      </w:pPr>
      <w:r w:rsidRPr="000643EF">
        <w:rPr>
          <w:rFonts w:ascii="Times New Roman" w:hAnsi="Times New Roman" w:cs="Times New Roman"/>
        </w:rPr>
        <w:t xml:space="preserve">This didn’t </w:t>
      </w:r>
      <w:r>
        <w:rPr>
          <w:rFonts w:ascii="Times New Roman" w:hAnsi="Times New Roman" w:cs="Times New Roman"/>
        </w:rPr>
        <w:t xml:space="preserve">deter Mr </w:t>
      </w:r>
      <w:proofErr w:type="spellStart"/>
      <w:r>
        <w:rPr>
          <w:rFonts w:ascii="Times New Roman" w:hAnsi="Times New Roman" w:cs="Times New Roman"/>
        </w:rPr>
        <w:t>Genge</w:t>
      </w:r>
      <w:proofErr w:type="spellEnd"/>
      <w:r>
        <w:rPr>
          <w:rFonts w:ascii="Times New Roman" w:hAnsi="Times New Roman" w:cs="Times New Roman"/>
        </w:rPr>
        <w:t xml:space="preserve">. In November </w:t>
      </w:r>
      <w:r w:rsidR="001A46C3">
        <w:rPr>
          <w:rFonts w:ascii="Times New Roman" w:hAnsi="Times New Roman" w:cs="Times New Roman"/>
        </w:rPr>
        <w:t>he sought judicial review</w:t>
      </w:r>
      <w:r w:rsidR="00A939D3">
        <w:rPr>
          <w:rFonts w:ascii="Times New Roman" w:hAnsi="Times New Roman" w:cs="Times New Roman"/>
        </w:rPr>
        <w:t xml:space="preserve"> </w:t>
      </w:r>
      <w:r w:rsidR="001A46C3">
        <w:rPr>
          <w:rFonts w:ascii="Times New Roman" w:hAnsi="Times New Roman" w:cs="Times New Roman"/>
        </w:rPr>
        <w:t xml:space="preserve">of his security classification </w:t>
      </w:r>
      <w:r w:rsidR="00A939D3">
        <w:rPr>
          <w:rFonts w:ascii="Times New Roman" w:hAnsi="Times New Roman" w:cs="Times New Roman"/>
        </w:rPr>
        <w:t>which he claimed was motivated by malice on the part of prison staff. This included not returning him to a low security unit following revision of his security assessment and h</w:t>
      </w:r>
      <w:r w:rsidR="002102DA">
        <w:rPr>
          <w:rFonts w:ascii="Times New Roman" w:hAnsi="Times New Roman" w:cs="Times New Roman"/>
        </w:rPr>
        <w:t>is</w:t>
      </w:r>
      <w:r w:rsidR="00A939D3">
        <w:rPr>
          <w:rFonts w:ascii="Times New Roman" w:hAnsi="Times New Roman" w:cs="Times New Roman"/>
        </w:rPr>
        <w:t xml:space="preserve"> consequent inability </w:t>
      </w:r>
      <w:r w:rsidR="002102DA">
        <w:rPr>
          <w:rFonts w:ascii="Times New Roman" w:hAnsi="Times New Roman" w:cs="Times New Roman"/>
        </w:rPr>
        <w:t>to avail himself of his minimum exercise entitlement</w:t>
      </w:r>
      <w:r w:rsidR="00A939D3">
        <w:rPr>
          <w:rFonts w:ascii="Times New Roman" w:hAnsi="Times New Roman" w:cs="Times New Roman"/>
        </w:rPr>
        <w:t xml:space="preserve">. He was successful in part the </w:t>
      </w:r>
      <w:r w:rsidR="002102DA">
        <w:rPr>
          <w:rFonts w:ascii="Times New Roman" w:hAnsi="Times New Roman" w:cs="Times New Roman"/>
        </w:rPr>
        <w:t xml:space="preserve">Judge making a declaration that Corrections had erred in taking into account certain of Mr </w:t>
      </w:r>
      <w:proofErr w:type="spellStart"/>
      <w:r w:rsidR="002102DA">
        <w:rPr>
          <w:rFonts w:ascii="Times New Roman" w:hAnsi="Times New Roman" w:cs="Times New Roman"/>
        </w:rPr>
        <w:t>Genge’s</w:t>
      </w:r>
      <w:proofErr w:type="spellEnd"/>
      <w:r w:rsidR="002102DA">
        <w:rPr>
          <w:rFonts w:ascii="Times New Roman" w:hAnsi="Times New Roman" w:cs="Times New Roman"/>
        </w:rPr>
        <w:t xml:space="preserve"> behavioural issues in determining his security classification. However, this had subsequently been redressed and there was no breach by prison staff in relation to his minimum entitlement to exercise given that he had “failed to avail himself pf the opportunity to take exercise”: at [87]. </w:t>
      </w:r>
      <w:proofErr w:type="spellStart"/>
      <w:r w:rsidR="002102DA" w:rsidRPr="00F11384">
        <w:rPr>
          <w:rFonts w:ascii="Times New Roman" w:hAnsi="Times New Roman" w:cs="Times New Roman"/>
          <w:color w:val="00B0F0"/>
        </w:rPr>
        <w:t>Genge</w:t>
      </w:r>
      <w:proofErr w:type="spellEnd"/>
      <w:r w:rsidR="002102DA" w:rsidRPr="00F11384">
        <w:rPr>
          <w:rFonts w:ascii="Times New Roman" w:hAnsi="Times New Roman" w:cs="Times New Roman"/>
          <w:color w:val="00B0F0"/>
        </w:rPr>
        <w:t xml:space="preserve"> v </w:t>
      </w:r>
      <w:r w:rsidR="002102DA" w:rsidRPr="00F11384">
        <w:rPr>
          <w:rStyle w:val="Hyperlink"/>
          <w:rFonts w:ascii="Times New Roman" w:hAnsi="Times New Roman" w:cs="Times New Roman"/>
          <w:color w:val="00B0F0"/>
          <w:u w:val="none"/>
        </w:rPr>
        <w:t>Chief Executive, Department of Corrections</w:t>
      </w:r>
      <w:r w:rsidR="002102DA" w:rsidRPr="00F11384">
        <w:rPr>
          <w:rFonts w:ascii="Times New Roman" w:hAnsi="Times New Roman" w:cs="Times New Roman"/>
          <w:color w:val="00B0F0"/>
        </w:rPr>
        <w:t xml:space="preserve"> [2019] NZHC 172. </w:t>
      </w:r>
    </w:p>
    <w:p w:rsidR="000643EF" w:rsidRPr="00433CF5" w:rsidRDefault="000643EF" w:rsidP="000643EF">
      <w:pPr>
        <w:rPr>
          <w:rFonts w:ascii="Times New Roman" w:hAnsi="Times New Roman" w:cs="Times New Roman"/>
          <w:b/>
        </w:rPr>
      </w:pPr>
    </w:p>
    <w:p w:rsidR="001D59F3" w:rsidRDefault="001D59F3" w:rsidP="00FE294D">
      <w:pPr>
        <w:spacing w:line="240" w:lineRule="auto"/>
        <w:jc w:val="both"/>
        <w:rPr>
          <w:rFonts w:ascii="Times New Roman" w:hAnsi="Times New Roman" w:cs="Times New Roman"/>
        </w:rPr>
      </w:pPr>
      <w:r>
        <w:rPr>
          <w:rFonts w:ascii="Times New Roman" w:hAnsi="Times New Roman" w:cs="Times New Roman"/>
        </w:rPr>
        <w:t xml:space="preserve">Compiled and edited by </w:t>
      </w:r>
    </w:p>
    <w:p w:rsidR="001D59F3" w:rsidRDefault="001D59F3" w:rsidP="001D59F3">
      <w:pPr>
        <w:spacing w:after="0" w:line="240" w:lineRule="auto"/>
        <w:jc w:val="both"/>
        <w:rPr>
          <w:rFonts w:ascii="Times New Roman" w:hAnsi="Times New Roman" w:cs="Times New Roman"/>
        </w:rPr>
      </w:pPr>
      <w:r>
        <w:rPr>
          <w:rFonts w:ascii="Times New Roman" w:hAnsi="Times New Roman" w:cs="Times New Roman"/>
        </w:rPr>
        <w:t xml:space="preserve">Sylvia Bell, </w:t>
      </w:r>
    </w:p>
    <w:p w:rsidR="00F30242" w:rsidRDefault="001D59F3" w:rsidP="001D59F3">
      <w:pPr>
        <w:spacing w:after="0" w:line="240" w:lineRule="auto"/>
        <w:jc w:val="both"/>
        <w:rPr>
          <w:rFonts w:ascii="Times New Roman" w:hAnsi="Times New Roman" w:cs="Times New Roman"/>
        </w:rPr>
      </w:pPr>
      <w:r>
        <w:rPr>
          <w:rFonts w:ascii="Times New Roman" w:hAnsi="Times New Roman" w:cs="Times New Roman"/>
        </w:rPr>
        <w:t>Research Fellow, NZ Centre for Human Rights Law, Policy &amp; Practice.</w:t>
      </w:r>
    </w:p>
    <w:p w:rsidR="005E26B9" w:rsidRDefault="005E26B9" w:rsidP="001D59F3">
      <w:pPr>
        <w:spacing w:after="0" w:line="240" w:lineRule="auto"/>
        <w:jc w:val="both"/>
        <w:rPr>
          <w:rFonts w:ascii="Times New Roman" w:hAnsi="Times New Roman" w:cs="Times New Roman"/>
        </w:rPr>
      </w:pPr>
    </w:p>
    <w:p w:rsidR="005E26B9" w:rsidRDefault="005E26B9" w:rsidP="001D59F3">
      <w:pPr>
        <w:spacing w:after="0" w:line="240" w:lineRule="auto"/>
        <w:jc w:val="both"/>
        <w:rPr>
          <w:rFonts w:ascii="Times New Roman" w:hAnsi="Times New Roman" w:cs="Times New Roman"/>
        </w:rPr>
      </w:pPr>
      <w:r>
        <w:rPr>
          <w:rFonts w:ascii="Times New Roman" w:hAnsi="Times New Roman" w:cs="Times New Roman"/>
        </w:rPr>
        <w:t>With contributions from Shelale Mazari, law student, Auckland University.</w:t>
      </w:r>
    </w:p>
    <w:sectPr w:rsidR="005E26B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3C" w:rsidRDefault="00FF5B3C" w:rsidP="006D53A1">
      <w:pPr>
        <w:spacing w:after="0" w:line="240" w:lineRule="auto"/>
      </w:pPr>
      <w:r>
        <w:separator/>
      </w:r>
    </w:p>
  </w:endnote>
  <w:endnote w:type="continuationSeparator" w:id="0">
    <w:p w:rsidR="00FF5B3C" w:rsidRDefault="00FF5B3C" w:rsidP="006D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075292"/>
      <w:docPartObj>
        <w:docPartGallery w:val="Page Numbers (Bottom of Page)"/>
        <w:docPartUnique/>
      </w:docPartObj>
    </w:sdtPr>
    <w:sdtEndPr>
      <w:rPr>
        <w:noProof/>
      </w:rPr>
    </w:sdtEndPr>
    <w:sdtContent>
      <w:p w:rsidR="005E26B9" w:rsidRDefault="005E26B9">
        <w:pPr>
          <w:pStyle w:val="Footer"/>
          <w:jc w:val="right"/>
        </w:pPr>
        <w:r>
          <w:fldChar w:fldCharType="begin"/>
        </w:r>
        <w:r>
          <w:instrText xml:space="preserve"> PAGE   \* MERGEFORMAT </w:instrText>
        </w:r>
        <w:r>
          <w:fldChar w:fldCharType="separate"/>
        </w:r>
        <w:r w:rsidR="005B09CB">
          <w:rPr>
            <w:noProof/>
          </w:rPr>
          <w:t>12</w:t>
        </w:r>
        <w:r>
          <w:rPr>
            <w:noProof/>
          </w:rPr>
          <w:fldChar w:fldCharType="end"/>
        </w:r>
      </w:p>
    </w:sdtContent>
  </w:sdt>
  <w:p w:rsidR="005E26B9" w:rsidRDefault="005E2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3C" w:rsidRDefault="00FF5B3C" w:rsidP="006D53A1">
      <w:pPr>
        <w:spacing w:after="0" w:line="240" w:lineRule="auto"/>
      </w:pPr>
      <w:r>
        <w:separator/>
      </w:r>
    </w:p>
  </w:footnote>
  <w:footnote w:type="continuationSeparator" w:id="0">
    <w:p w:rsidR="00FF5B3C" w:rsidRDefault="00FF5B3C" w:rsidP="006D53A1">
      <w:pPr>
        <w:spacing w:after="0" w:line="240" w:lineRule="auto"/>
      </w:pPr>
      <w:r>
        <w:continuationSeparator/>
      </w:r>
    </w:p>
  </w:footnote>
  <w:footnote w:id="1">
    <w:p w:rsidR="00E02F2D" w:rsidRPr="00C2216F" w:rsidRDefault="00E02F2D" w:rsidP="00C2216F">
      <w:pPr>
        <w:pStyle w:val="FootnoteText"/>
        <w:spacing w:line="240" w:lineRule="auto"/>
        <w:rPr>
          <w:sz w:val="18"/>
          <w:szCs w:val="18"/>
          <w:lang w:val="en-NZ"/>
        </w:rPr>
      </w:pPr>
      <w:r w:rsidRPr="00C2216F">
        <w:rPr>
          <w:rStyle w:val="FootnoteReference"/>
          <w:sz w:val="18"/>
          <w:szCs w:val="18"/>
        </w:rPr>
        <w:footnoteRef/>
      </w:r>
      <w:r w:rsidRPr="00C2216F">
        <w:rPr>
          <w:sz w:val="18"/>
          <w:szCs w:val="18"/>
        </w:rPr>
        <w:t xml:space="preserve"> </w:t>
      </w:r>
      <w:r w:rsidRPr="00C2216F">
        <w:rPr>
          <w:sz w:val="18"/>
          <w:szCs w:val="18"/>
          <w:lang w:val="en-NZ"/>
        </w:rPr>
        <w:tab/>
      </w:r>
      <w:r w:rsidRPr="00C2216F">
        <w:rPr>
          <w:i/>
          <w:sz w:val="18"/>
          <w:szCs w:val="18"/>
          <w:lang w:val="en-NZ"/>
        </w:rPr>
        <w:t>Taylor v Attorney-General</w:t>
      </w:r>
      <w:r w:rsidRPr="00C2216F">
        <w:rPr>
          <w:sz w:val="18"/>
          <w:szCs w:val="18"/>
          <w:lang w:val="en-NZ"/>
        </w:rPr>
        <w:t xml:space="preserve"> [2015] NZHC 1706, [2015] 3 NZLR 791 </w:t>
      </w:r>
    </w:p>
  </w:footnote>
  <w:footnote w:id="2">
    <w:p w:rsidR="00E02F2D" w:rsidRPr="00C2216F" w:rsidRDefault="00E02F2D" w:rsidP="00C2216F">
      <w:pPr>
        <w:pStyle w:val="FootnoteText"/>
        <w:spacing w:line="240" w:lineRule="auto"/>
        <w:rPr>
          <w:sz w:val="18"/>
          <w:szCs w:val="18"/>
          <w:lang w:val="en-NZ"/>
        </w:rPr>
      </w:pPr>
      <w:r w:rsidRPr="00C2216F">
        <w:rPr>
          <w:rStyle w:val="FootnoteReference"/>
          <w:sz w:val="18"/>
          <w:szCs w:val="18"/>
        </w:rPr>
        <w:footnoteRef/>
      </w:r>
      <w:r w:rsidRPr="00C2216F">
        <w:rPr>
          <w:sz w:val="18"/>
          <w:szCs w:val="18"/>
        </w:rPr>
        <w:t xml:space="preserve"> </w:t>
      </w:r>
      <w:r w:rsidRPr="00C2216F">
        <w:rPr>
          <w:sz w:val="18"/>
          <w:szCs w:val="18"/>
          <w:lang w:val="en-NZ"/>
        </w:rPr>
        <w:tab/>
      </w:r>
      <w:r w:rsidRPr="00C2216F">
        <w:rPr>
          <w:i/>
          <w:sz w:val="18"/>
          <w:szCs w:val="18"/>
          <w:lang w:val="en-NZ"/>
        </w:rPr>
        <w:t>Attorney-General v Taylor</w:t>
      </w:r>
      <w:r w:rsidRPr="00C2216F">
        <w:rPr>
          <w:sz w:val="18"/>
          <w:szCs w:val="18"/>
          <w:lang w:val="en-NZ"/>
        </w:rPr>
        <w:t xml:space="preserve"> [2017] NZCA 215, [2017] 3 NZLR 24  </w:t>
      </w:r>
    </w:p>
  </w:footnote>
  <w:footnote w:id="3">
    <w:p w:rsidR="00E02F2D" w:rsidRPr="00104B45" w:rsidRDefault="00E02F2D" w:rsidP="008419B7">
      <w:pPr>
        <w:pStyle w:val="FootnoteText"/>
        <w:spacing w:line="240" w:lineRule="auto"/>
        <w:rPr>
          <w:sz w:val="18"/>
          <w:szCs w:val="18"/>
          <w:lang w:val="en-NZ"/>
        </w:rPr>
      </w:pPr>
      <w:r w:rsidRPr="00104B45">
        <w:rPr>
          <w:rStyle w:val="FootnoteReference"/>
          <w:sz w:val="18"/>
          <w:szCs w:val="18"/>
        </w:rPr>
        <w:footnoteRef/>
      </w:r>
      <w:r w:rsidRPr="00104B45">
        <w:rPr>
          <w:sz w:val="18"/>
          <w:szCs w:val="18"/>
        </w:rPr>
        <w:t xml:space="preserve"> </w:t>
      </w:r>
      <w:r w:rsidRPr="00104B45">
        <w:rPr>
          <w:sz w:val="18"/>
          <w:szCs w:val="18"/>
          <w:lang w:val="en-NZ"/>
        </w:rPr>
        <w:tab/>
        <w:t>At 105</w:t>
      </w:r>
    </w:p>
  </w:footnote>
  <w:footnote w:id="4">
    <w:p w:rsidR="00E02F2D" w:rsidRPr="00EB7834" w:rsidRDefault="00E02F2D" w:rsidP="008419B7">
      <w:pPr>
        <w:pStyle w:val="FootnoteText"/>
        <w:spacing w:line="240" w:lineRule="auto"/>
        <w:rPr>
          <w:lang w:val="en-NZ"/>
        </w:rPr>
      </w:pPr>
      <w:r w:rsidRPr="00EB7834">
        <w:rPr>
          <w:rStyle w:val="FootnoteReference"/>
          <w:sz w:val="18"/>
          <w:szCs w:val="18"/>
        </w:rPr>
        <w:footnoteRef/>
      </w:r>
      <w:r w:rsidRPr="00EB7834">
        <w:rPr>
          <w:sz w:val="18"/>
          <w:szCs w:val="18"/>
        </w:rPr>
        <w:t xml:space="preserve"> </w:t>
      </w:r>
      <w:r>
        <w:rPr>
          <w:sz w:val="18"/>
          <w:szCs w:val="18"/>
        </w:rPr>
        <w:tab/>
      </w:r>
      <w:r w:rsidRPr="00EB7834">
        <w:rPr>
          <w:sz w:val="18"/>
          <w:szCs w:val="18"/>
          <w:lang w:val="en-NZ"/>
        </w:rPr>
        <w:t>At [8</w:t>
      </w:r>
      <w:r>
        <w:rPr>
          <w:lang w:val="en-NZ"/>
        </w:rPr>
        <w:t xml:space="preserve">] </w:t>
      </w:r>
    </w:p>
  </w:footnote>
  <w:footnote w:id="5">
    <w:p w:rsidR="00E02F2D" w:rsidRPr="00543614" w:rsidRDefault="00E02F2D" w:rsidP="008419B7">
      <w:pPr>
        <w:pStyle w:val="FootnoteText"/>
        <w:spacing w:line="240" w:lineRule="auto"/>
        <w:rPr>
          <w:sz w:val="18"/>
          <w:szCs w:val="18"/>
        </w:rPr>
      </w:pPr>
      <w:r w:rsidRPr="00543614">
        <w:rPr>
          <w:rStyle w:val="FootnoteReference"/>
          <w:sz w:val="18"/>
          <w:szCs w:val="18"/>
        </w:rPr>
        <w:footnoteRef/>
      </w:r>
      <w:r>
        <w:rPr>
          <w:sz w:val="18"/>
          <w:szCs w:val="18"/>
        </w:rPr>
        <w:t xml:space="preserve"> </w:t>
      </w:r>
      <w:r>
        <w:rPr>
          <w:sz w:val="18"/>
          <w:szCs w:val="18"/>
        </w:rPr>
        <w:tab/>
      </w:r>
      <w:r w:rsidRPr="00543614">
        <w:rPr>
          <w:i/>
          <w:sz w:val="18"/>
          <w:szCs w:val="18"/>
        </w:rPr>
        <w:t>Cook v Housing New Zealand Corp</w:t>
      </w:r>
      <w:r w:rsidRPr="00543614">
        <w:rPr>
          <w:sz w:val="18"/>
          <w:szCs w:val="18"/>
        </w:rPr>
        <w:t xml:space="preserve"> [2017] NZHC 1781 at [22].</w:t>
      </w:r>
    </w:p>
  </w:footnote>
  <w:footnote w:id="6">
    <w:p w:rsidR="00E02F2D" w:rsidRPr="00543614" w:rsidRDefault="00E02F2D" w:rsidP="008419B7">
      <w:pPr>
        <w:pStyle w:val="FootnoteText"/>
        <w:spacing w:line="240" w:lineRule="auto"/>
        <w:rPr>
          <w:sz w:val="18"/>
          <w:szCs w:val="18"/>
        </w:rPr>
      </w:pPr>
      <w:r w:rsidRPr="00543614">
        <w:rPr>
          <w:rStyle w:val="FootnoteReference"/>
          <w:sz w:val="18"/>
          <w:szCs w:val="18"/>
        </w:rPr>
        <w:footnoteRef/>
      </w:r>
      <w:r w:rsidRPr="00543614">
        <w:rPr>
          <w:sz w:val="18"/>
          <w:szCs w:val="18"/>
        </w:rPr>
        <w:t xml:space="preserve"> </w:t>
      </w:r>
      <w:r>
        <w:rPr>
          <w:sz w:val="18"/>
          <w:szCs w:val="18"/>
        </w:rPr>
        <w:tab/>
      </w:r>
      <w:r w:rsidRPr="00543614">
        <w:rPr>
          <w:sz w:val="18"/>
          <w:szCs w:val="18"/>
        </w:rPr>
        <w:t>Section 45.</w:t>
      </w:r>
    </w:p>
  </w:footnote>
  <w:footnote w:id="7">
    <w:p w:rsidR="00E02F2D" w:rsidRPr="00543614" w:rsidRDefault="00E02F2D" w:rsidP="008419B7">
      <w:pPr>
        <w:pStyle w:val="FootnoteText"/>
        <w:spacing w:line="240" w:lineRule="auto"/>
        <w:rPr>
          <w:sz w:val="18"/>
          <w:szCs w:val="18"/>
        </w:rPr>
      </w:pPr>
      <w:r w:rsidRPr="00543614">
        <w:rPr>
          <w:rStyle w:val="FootnoteReference"/>
          <w:sz w:val="18"/>
          <w:szCs w:val="18"/>
        </w:rPr>
        <w:footnoteRef/>
      </w:r>
      <w:r w:rsidRPr="00543614">
        <w:rPr>
          <w:sz w:val="18"/>
          <w:szCs w:val="18"/>
        </w:rPr>
        <w:t xml:space="preserve"> </w:t>
      </w:r>
      <w:r>
        <w:rPr>
          <w:sz w:val="18"/>
          <w:szCs w:val="18"/>
        </w:rPr>
        <w:tab/>
      </w:r>
      <w:r w:rsidRPr="00543614">
        <w:rPr>
          <w:sz w:val="18"/>
          <w:szCs w:val="18"/>
        </w:rPr>
        <w:t xml:space="preserve">Above, n </w:t>
      </w:r>
      <w:r w:rsidRPr="00543614">
        <w:rPr>
          <w:sz w:val="18"/>
          <w:szCs w:val="18"/>
        </w:rPr>
        <w:fldChar w:fldCharType="begin"/>
      </w:r>
      <w:r w:rsidRPr="00543614">
        <w:rPr>
          <w:sz w:val="18"/>
          <w:szCs w:val="18"/>
        </w:rPr>
        <w:instrText xml:space="preserve"> NOTEREF _Ref512878362 \h  \* MERGEFORMAT </w:instrText>
      </w:r>
      <w:r w:rsidRPr="00543614">
        <w:rPr>
          <w:sz w:val="18"/>
          <w:szCs w:val="18"/>
        </w:rPr>
      </w:r>
      <w:r w:rsidRPr="00543614">
        <w:rPr>
          <w:sz w:val="18"/>
          <w:szCs w:val="18"/>
        </w:rPr>
        <w:fldChar w:fldCharType="separate"/>
      </w:r>
      <w:r>
        <w:rPr>
          <w:sz w:val="18"/>
          <w:szCs w:val="18"/>
        </w:rPr>
        <w:t>16</w:t>
      </w:r>
      <w:r w:rsidRPr="00543614">
        <w:rPr>
          <w:sz w:val="18"/>
          <w:szCs w:val="18"/>
        </w:rPr>
        <w:fldChar w:fldCharType="end"/>
      </w:r>
      <w:r w:rsidRPr="00543614">
        <w:rPr>
          <w:sz w:val="18"/>
          <w:szCs w:val="18"/>
        </w:rPr>
        <w:t xml:space="preserve">, at [30]. </w:t>
      </w:r>
    </w:p>
  </w:footnote>
  <w:footnote w:id="8">
    <w:p w:rsidR="00E02F2D" w:rsidRPr="00543614" w:rsidRDefault="00E02F2D" w:rsidP="008419B7">
      <w:pPr>
        <w:pStyle w:val="FootnoteText"/>
        <w:spacing w:line="240" w:lineRule="auto"/>
        <w:rPr>
          <w:sz w:val="18"/>
          <w:szCs w:val="18"/>
        </w:rPr>
      </w:pPr>
      <w:r w:rsidRPr="00543614">
        <w:rPr>
          <w:rStyle w:val="FootnoteReference"/>
          <w:sz w:val="18"/>
          <w:szCs w:val="18"/>
        </w:rPr>
        <w:footnoteRef/>
      </w:r>
      <w:r w:rsidRPr="00543614">
        <w:rPr>
          <w:sz w:val="18"/>
          <w:szCs w:val="18"/>
        </w:rPr>
        <w:t xml:space="preserve"> </w:t>
      </w:r>
      <w:r>
        <w:rPr>
          <w:sz w:val="18"/>
          <w:szCs w:val="18"/>
        </w:rPr>
        <w:tab/>
      </w:r>
      <w:r w:rsidRPr="00543614">
        <w:rPr>
          <w:sz w:val="18"/>
          <w:szCs w:val="18"/>
        </w:rPr>
        <w:t>Section 76.</w:t>
      </w:r>
    </w:p>
  </w:footnote>
  <w:footnote w:id="9">
    <w:p w:rsidR="00E02F2D" w:rsidRPr="00543614" w:rsidRDefault="00E02F2D" w:rsidP="008419B7">
      <w:pPr>
        <w:pStyle w:val="FootnoteText"/>
        <w:spacing w:line="240" w:lineRule="auto"/>
        <w:rPr>
          <w:sz w:val="18"/>
          <w:szCs w:val="18"/>
        </w:rPr>
      </w:pPr>
      <w:r w:rsidRPr="00543614">
        <w:rPr>
          <w:rStyle w:val="FootnoteReference"/>
          <w:sz w:val="18"/>
          <w:szCs w:val="18"/>
        </w:rPr>
        <w:footnoteRef/>
      </w:r>
      <w:r w:rsidRPr="00543614">
        <w:rPr>
          <w:sz w:val="18"/>
          <w:szCs w:val="18"/>
        </w:rPr>
        <w:t xml:space="preserve"> </w:t>
      </w:r>
      <w:r>
        <w:rPr>
          <w:sz w:val="18"/>
          <w:szCs w:val="18"/>
        </w:rPr>
        <w:tab/>
      </w:r>
      <w:r w:rsidRPr="00543614">
        <w:rPr>
          <w:sz w:val="18"/>
          <w:szCs w:val="18"/>
        </w:rPr>
        <w:t>At [42].</w:t>
      </w:r>
    </w:p>
  </w:footnote>
  <w:footnote w:id="10">
    <w:p w:rsidR="00E02F2D" w:rsidRPr="00543614" w:rsidRDefault="00E02F2D" w:rsidP="008419B7">
      <w:pPr>
        <w:pStyle w:val="FootnoteText"/>
        <w:spacing w:line="240" w:lineRule="auto"/>
        <w:rPr>
          <w:sz w:val="18"/>
          <w:szCs w:val="18"/>
        </w:rPr>
      </w:pPr>
      <w:r w:rsidRPr="00543614">
        <w:rPr>
          <w:rStyle w:val="FootnoteReference"/>
          <w:sz w:val="18"/>
          <w:szCs w:val="18"/>
        </w:rPr>
        <w:footnoteRef/>
      </w:r>
      <w:r w:rsidRPr="00543614">
        <w:rPr>
          <w:sz w:val="18"/>
          <w:szCs w:val="18"/>
        </w:rPr>
        <w:t xml:space="preserve"> </w:t>
      </w:r>
      <w:r>
        <w:rPr>
          <w:sz w:val="18"/>
          <w:szCs w:val="18"/>
        </w:rPr>
        <w:tab/>
      </w:r>
      <w:r w:rsidRPr="00543614">
        <w:rPr>
          <w:sz w:val="18"/>
          <w:szCs w:val="18"/>
        </w:rPr>
        <w:t>The International Covenant on Economic, Social and Cultural Rights, art 11(1).</w:t>
      </w:r>
    </w:p>
  </w:footnote>
  <w:footnote w:id="11">
    <w:p w:rsidR="00E02F2D" w:rsidRPr="00543614" w:rsidRDefault="00E02F2D" w:rsidP="008419B7">
      <w:pPr>
        <w:pStyle w:val="FootnoteText"/>
        <w:spacing w:line="240" w:lineRule="auto"/>
        <w:ind w:left="720" w:hanging="720"/>
        <w:rPr>
          <w:sz w:val="18"/>
          <w:szCs w:val="18"/>
        </w:rPr>
      </w:pPr>
      <w:r w:rsidRPr="00543614">
        <w:rPr>
          <w:rStyle w:val="FootnoteReference"/>
          <w:sz w:val="18"/>
          <w:szCs w:val="18"/>
        </w:rPr>
        <w:footnoteRef/>
      </w:r>
      <w:r w:rsidRPr="00543614">
        <w:rPr>
          <w:sz w:val="18"/>
          <w:szCs w:val="18"/>
        </w:rPr>
        <w:t xml:space="preserve"> </w:t>
      </w:r>
      <w:r>
        <w:rPr>
          <w:sz w:val="18"/>
          <w:szCs w:val="18"/>
        </w:rPr>
        <w:tab/>
      </w:r>
      <w:r w:rsidRPr="00543614">
        <w:rPr>
          <w:sz w:val="18"/>
          <w:szCs w:val="18"/>
        </w:rPr>
        <w:t xml:space="preserve">Isaac Davison “UN ‘shocked’ by NZ’s record on housing, child poverty, incarceration” The New Zealand Herald (online </w:t>
      </w:r>
      <w:proofErr w:type="spellStart"/>
      <w:proofErr w:type="gramStart"/>
      <w:r w:rsidRPr="00543614">
        <w:rPr>
          <w:sz w:val="18"/>
          <w:szCs w:val="18"/>
        </w:rPr>
        <w:t>ed</w:t>
      </w:r>
      <w:proofErr w:type="spellEnd"/>
      <w:proofErr w:type="gramEnd"/>
      <w:r w:rsidRPr="00543614">
        <w:rPr>
          <w:sz w:val="18"/>
          <w:szCs w:val="18"/>
        </w:rPr>
        <w:t>, 24 April 2018).</w:t>
      </w:r>
    </w:p>
  </w:footnote>
  <w:footnote w:id="12">
    <w:p w:rsidR="00E02F2D" w:rsidRPr="00030D09" w:rsidRDefault="00E02F2D" w:rsidP="008419B7">
      <w:pPr>
        <w:pStyle w:val="FootnoteText"/>
        <w:spacing w:line="240" w:lineRule="auto"/>
        <w:rPr>
          <w:sz w:val="18"/>
          <w:szCs w:val="18"/>
          <w:lang w:val="en-NZ"/>
        </w:rPr>
      </w:pPr>
      <w:r w:rsidRPr="00030D09">
        <w:rPr>
          <w:rStyle w:val="FootnoteReference"/>
          <w:sz w:val="18"/>
          <w:szCs w:val="18"/>
        </w:rPr>
        <w:footnoteRef/>
      </w:r>
      <w:r>
        <w:rPr>
          <w:sz w:val="18"/>
          <w:szCs w:val="18"/>
        </w:rPr>
        <w:t xml:space="preserve"> </w:t>
      </w:r>
      <w:r>
        <w:rPr>
          <w:sz w:val="18"/>
          <w:szCs w:val="18"/>
        </w:rPr>
        <w:tab/>
      </w:r>
      <w:r w:rsidRPr="00030D09">
        <w:rPr>
          <w:i/>
          <w:sz w:val="18"/>
          <w:szCs w:val="18"/>
          <w:lang w:val="en-NZ"/>
        </w:rPr>
        <w:t>X v Attorney-General</w:t>
      </w:r>
      <w:r w:rsidRPr="00030D09">
        <w:rPr>
          <w:sz w:val="18"/>
          <w:szCs w:val="18"/>
          <w:lang w:val="en-NZ"/>
        </w:rPr>
        <w:t xml:space="preserve"> [2017] NZHC 768, [2017] 3 NZLR 115</w:t>
      </w:r>
    </w:p>
  </w:footnote>
  <w:footnote w:id="13">
    <w:p w:rsidR="00E02F2D" w:rsidRPr="0000165E" w:rsidRDefault="00E02F2D" w:rsidP="000C7282">
      <w:pPr>
        <w:pStyle w:val="FootnoteText"/>
        <w:tabs>
          <w:tab w:val="left" w:pos="709"/>
        </w:tabs>
        <w:spacing w:line="240" w:lineRule="auto"/>
        <w:ind w:left="709" w:hanging="709"/>
        <w:rPr>
          <w:sz w:val="18"/>
          <w:szCs w:val="18"/>
          <w:lang w:val="en-NZ"/>
        </w:rPr>
      </w:pPr>
      <w:r w:rsidRPr="0000165E">
        <w:rPr>
          <w:rStyle w:val="FootnoteReference"/>
          <w:sz w:val="18"/>
          <w:szCs w:val="18"/>
        </w:rPr>
        <w:footnoteRef/>
      </w:r>
      <w:r w:rsidRPr="0000165E">
        <w:rPr>
          <w:sz w:val="18"/>
          <w:szCs w:val="18"/>
        </w:rPr>
        <w:t xml:space="preserve"> </w:t>
      </w:r>
      <w:r>
        <w:rPr>
          <w:sz w:val="18"/>
          <w:szCs w:val="18"/>
        </w:rPr>
        <w:t xml:space="preserve"> </w:t>
      </w:r>
      <w:r>
        <w:rPr>
          <w:sz w:val="18"/>
          <w:szCs w:val="18"/>
        </w:rPr>
        <w:tab/>
      </w:r>
      <w:r w:rsidRPr="0000165E">
        <w:rPr>
          <w:i/>
          <w:sz w:val="18"/>
          <w:szCs w:val="18"/>
          <w:lang w:val="en-NZ"/>
        </w:rPr>
        <w:t>Basic Principles and Guidelines on the Right to a Remedy and Reparation for Victims of Gross Violations of International Human Rights Law and Serous Violations of International Human Rights Law</w:t>
      </w:r>
      <w:r w:rsidRPr="0000165E">
        <w:rPr>
          <w:sz w:val="18"/>
          <w:szCs w:val="18"/>
          <w:lang w:val="en-NZ"/>
        </w:rPr>
        <w:t xml:space="preserve"> GA Res 60/147,A/Res/60/147 (2005). </w:t>
      </w:r>
    </w:p>
  </w:footnote>
  <w:footnote w:id="14">
    <w:p w:rsidR="00E02F2D" w:rsidRPr="00760ED7" w:rsidRDefault="00E02F2D" w:rsidP="000C7282">
      <w:pPr>
        <w:pStyle w:val="FootnoteText"/>
        <w:rPr>
          <w:sz w:val="18"/>
          <w:szCs w:val="18"/>
          <w:lang w:val="en-NZ"/>
        </w:rPr>
      </w:pPr>
      <w:r w:rsidRPr="00760ED7">
        <w:rPr>
          <w:rStyle w:val="FootnoteReference"/>
          <w:sz w:val="18"/>
          <w:szCs w:val="18"/>
        </w:rPr>
        <w:footnoteRef/>
      </w:r>
      <w:r w:rsidRPr="00760ED7">
        <w:rPr>
          <w:sz w:val="18"/>
          <w:szCs w:val="18"/>
        </w:rPr>
        <w:t xml:space="preserve"> </w:t>
      </w:r>
      <w:r>
        <w:rPr>
          <w:sz w:val="18"/>
          <w:szCs w:val="18"/>
        </w:rPr>
        <w:tab/>
      </w:r>
      <w:r w:rsidRPr="00760ED7">
        <w:rPr>
          <w:i/>
          <w:sz w:val="18"/>
          <w:szCs w:val="18"/>
          <w:lang w:val="en-NZ"/>
        </w:rPr>
        <w:t>Draft articles on responsibility of States for internationally wrongful acts</w:t>
      </w:r>
      <w:r w:rsidRPr="00760ED7">
        <w:rPr>
          <w:sz w:val="18"/>
          <w:szCs w:val="18"/>
          <w:lang w:val="en-NZ"/>
        </w:rPr>
        <w:t xml:space="preserve"> [2001] vol.2 </w:t>
      </w:r>
      <w:proofErr w:type="spellStart"/>
      <w:r w:rsidRPr="00760ED7">
        <w:rPr>
          <w:sz w:val="18"/>
          <w:szCs w:val="18"/>
          <w:lang w:val="en-NZ"/>
        </w:rPr>
        <w:t>pt</w:t>
      </w:r>
      <w:proofErr w:type="spellEnd"/>
      <w:r w:rsidRPr="00760ED7">
        <w:rPr>
          <w:sz w:val="18"/>
          <w:szCs w:val="18"/>
          <w:lang w:val="en-NZ"/>
        </w:rPr>
        <w:t xml:space="preserve"> 2 YILC 26</w:t>
      </w:r>
    </w:p>
  </w:footnote>
  <w:footnote w:id="15">
    <w:p w:rsidR="00E02F2D" w:rsidRPr="002F59D8" w:rsidRDefault="00E02F2D" w:rsidP="000C7282">
      <w:pPr>
        <w:pStyle w:val="FootnoteText"/>
        <w:rPr>
          <w:sz w:val="18"/>
          <w:szCs w:val="18"/>
          <w:lang w:val="en-NZ"/>
        </w:rPr>
      </w:pPr>
      <w:r w:rsidRPr="002F59D8">
        <w:rPr>
          <w:rStyle w:val="FootnoteReference"/>
          <w:sz w:val="18"/>
          <w:szCs w:val="18"/>
        </w:rPr>
        <w:footnoteRef/>
      </w:r>
      <w:r w:rsidRPr="002F59D8">
        <w:rPr>
          <w:sz w:val="18"/>
          <w:szCs w:val="18"/>
        </w:rPr>
        <w:t xml:space="preserve"> </w:t>
      </w:r>
      <w:r>
        <w:rPr>
          <w:sz w:val="18"/>
          <w:szCs w:val="18"/>
        </w:rPr>
        <w:tab/>
      </w:r>
      <w:r w:rsidRPr="002F59D8">
        <w:rPr>
          <w:i/>
          <w:sz w:val="18"/>
          <w:szCs w:val="18"/>
          <w:lang w:val="en-NZ"/>
        </w:rPr>
        <w:t>WK v Refugee and Protection Officer</w:t>
      </w:r>
      <w:r w:rsidRPr="002F59D8">
        <w:rPr>
          <w:sz w:val="18"/>
          <w:szCs w:val="18"/>
          <w:lang w:val="en-NZ"/>
        </w:rPr>
        <w:t xml:space="preserve"> [2018] NZHC 514</w:t>
      </w:r>
    </w:p>
  </w:footnote>
  <w:footnote w:id="16">
    <w:p w:rsidR="00E02F2D" w:rsidRPr="00112A94" w:rsidRDefault="00E02F2D" w:rsidP="000C7282">
      <w:pPr>
        <w:pStyle w:val="FootnoteText"/>
        <w:rPr>
          <w:lang w:val="en-NZ"/>
        </w:rPr>
      </w:pPr>
      <w:r>
        <w:rPr>
          <w:rStyle w:val="FootnoteReference"/>
        </w:rPr>
        <w:footnoteRef/>
      </w:r>
      <w:r>
        <w:t xml:space="preserve"> </w:t>
      </w:r>
      <w:r>
        <w:tab/>
      </w:r>
      <w:r>
        <w:rPr>
          <w:lang w:val="en-NZ"/>
        </w:rPr>
        <w:t>[2014] NZHC 3017</w:t>
      </w:r>
    </w:p>
  </w:footnote>
  <w:footnote w:id="17">
    <w:p w:rsidR="00E02F2D" w:rsidRPr="00C36D0B" w:rsidRDefault="00E02F2D" w:rsidP="00C2216F">
      <w:pPr>
        <w:pStyle w:val="FootnoteText"/>
        <w:spacing w:line="240" w:lineRule="auto"/>
        <w:ind w:left="567" w:hanging="567"/>
        <w:rPr>
          <w:sz w:val="18"/>
          <w:szCs w:val="18"/>
          <w:lang w:val="en-NZ"/>
        </w:rPr>
      </w:pPr>
      <w:r w:rsidRPr="006C70C2">
        <w:rPr>
          <w:rStyle w:val="FootnoteReference"/>
        </w:rPr>
        <w:footnoteRef/>
      </w:r>
      <w:r w:rsidRPr="006C70C2">
        <w:t xml:space="preserve"> </w:t>
      </w:r>
      <w:r>
        <w:tab/>
      </w:r>
      <w:proofErr w:type="spellStart"/>
      <w:r w:rsidRPr="00C36D0B">
        <w:rPr>
          <w:i/>
          <w:sz w:val="18"/>
          <w:szCs w:val="18"/>
        </w:rPr>
        <w:t>Rajan</w:t>
      </w:r>
      <w:proofErr w:type="spellEnd"/>
      <w:r w:rsidRPr="00C36D0B">
        <w:rPr>
          <w:i/>
          <w:sz w:val="18"/>
          <w:szCs w:val="18"/>
        </w:rPr>
        <w:t xml:space="preserve"> v Minster of Immigration </w:t>
      </w:r>
      <w:r w:rsidRPr="00C36D0B">
        <w:rPr>
          <w:sz w:val="18"/>
          <w:szCs w:val="18"/>
        </w:rPr>
        <w:t xml:space="preserve">[2004] NZAR 615 (CA), affirmed in </w:t>
      </w:r>
      <w:proofErr w:type="spellStart"/>
      <w:r w:rsidRPr="00C36D0B">
        <w:rPr>
          <w:i/>
          <w:sz w:val="18"/>
          <w:szCs w:val="18"/>
        </w:rPr>
        <w:t>Dahiya</w:t>
      </w:r>
      <w:proofErr w:type="spellEnd"/>
      <w:r w:rsidRPr="00C36D0B">
        <w:rPr>
          <w:i/>
          <w:sz w:val="18"/>
          <w:szCs w:val="18"/>
        </w:rPr>
        <w:t xml:space="preserve"> v Chief </w:t>
      </w:r>
      <w:proofErr w:type="spellStart"/>
      <w:r w:rsidRPr="00C36D0B">
        <w:rPr>
          <w:i/>
          <w:sz w:val="18"/>
          <w:szCs w:val="18"/>
        </w:rPr>
        <w:t>Exectuvie</w:t>
      </w:r>
      <w:proofErr w:type="spellEnd"/>
      <w:r w:rsidRPr="00C36D0B">
        <w:rPr>
          <w:i/>
          <w:sz w:val="18"/>
          <w:szCs w:val="18"/>
        </w:rPr>
        <w:t xml:space="preserve"> of the Ministry of Business, Innovation and Employment </w:t>
      </w:r>
      <w:r w:rsidRPr="00C36D0B">
        <w:rPr>
          <w:sz w:val="18"/>
          <w:szCs w:val="18"/>
        </w:rPr>
        <w:t>[2016] N</w:t>
      </w:r>
      <w:r>
        <w:rPr>
          <w:sz w:val="18"/>
          <w:szCs w:val="18"/>
        </w:rPr>
        <w:t>Z</w:t>
      </w:r>
      <w:r w:rsidRPr="00C36D0B">
        <w:rPr>
          <w:sz w:val="18"/>
          <w:szCs w:val="18"/>
        </w:rPr>
        <w:t>CA 546 at [11].</w:t>
      </w:r>
    </w:p>
  </w:footnote>
  <w:footnote w:id="18">
    <w:p w:rsidR="00E02F2D" w:rsidRPr="00C36D0B" w:rsidRDefault="00E02F2D" w:rsidP="00C36D0B">
      <w:pPr>
        <w:pStyle w:val="FootnoteText"/>
        <w:spacing w:line="240" w:lineRule="auto"/>
        <w:rPr>
          <w:sz w:val="18"/>
          <w:szCs w:val="18"/>
          <w:lang w:val="en-NZ"/>
        </w:rPr>
      </w:pPr>
      <w:r w:rsidRPr="00C36D0B">
        <w:rPr>
          <w:rStyle w:val="FootnoteReference"/>
          <w:sz w:val="18"/>
          <w:szCs w:val="18"/>
        </w:rPr>
        <w:footnoteRef/>
      </w:r>
      <w:r>
        <w:rPr>
          <w:sz w:val="18"/>
          <w:szCs w:val="18"/>
        </w:rPr>
        <w:t xml:space="preserve"> </w:t>
      </w:r>
      <w:r>
        <w:rPr>
          <w:sz w:val="18"/>
          <w:szCs w:val="18"/>
        </w:rPr>
        <w:tab/>
      </w:r>
      <w:r w:rsidRPr="00C36D0B">
        <w:rPr>
          <w:sz w:val="18"/>
          <w:szCs w:val="18"/>
        </w:rPr>
        <w:t>s 232(2)(c) CPA</w:t>
      </w:r>
    </w:p>
  </w:footnote>
  <w:footnote w:id="19">
    <w:p w:rsidR="00E02F2D" w:rsidRPr="00C36D0B" w:rsidRDefault="00E02F2D" w:rsidP="00C2216F">
      <w:pPr>
        <w:pStyle w:val="FootnoteText"/>
        <w:spacing w:line="240" w:lineRule="auto"/>
        <w:ind w:left="709" w:hanging="709"/>
        <w:rPr>
          <w:sz w:val="18"/>
          <w:szCs w:val="18"/>
          <w:lang w:val="en-NZ"/>
        </w:rPr>
      </w:pPr>
      <w:r w:rsidRPr="00C36D0B">
        <w:rPr>
          <w:rStyle w:val="FootnoteReference"/>
          <w:sz w:val="18"/>
          <w:szCs w:val="18"/>
        </w:rPr>
        <w:footnoteRef/>
      </w:r>
      <w:r w:rsidRPr="00C36D0B">
        <w:rPr>
          <w:sz w:val="18"/>
          <w:szCs w:val="18"/>
        </w:rPr>
        <w:t xml:space="preserve"> </w:t>
      </w:r>
      <w:r>
        <w:rPr>
          <w:sz w:val="18"/>
          <w:szCs w:val="18"/>
        </w:rPr>
        <w:tab/>
      </w:r>
      <w:r w:rsidRPr="00C36D0B">
        <w:rPr>
          <w:i/>
          <w:sz w:val="18"/>
          <w:szCs w:val="18"/>
        </w:rPr>
        <w:t>R v Le Page</w:t>
      </w:r>
      <w:r w:rsidRPr="00C36D0B">
        <w:rPr>
          <w:sz w:val="18"/>
          <w:szCs w:val="18"/>
        </w:rPr>
        <w:t xml:space="preserve"> [2005] 2 NZLR 845 (CA) at [13]; </w:t>
      </w:r>
      <w:r w:rsidRPr="00C36D0B">
        <w:rPr>
          <w:i/>
          <w:sz w:val="18"/>
          <w:szCs w:val="18"/>
        </w:rPr>
        <w:t xml:space="preserve">R v </w:t>
      </w:r>
      <w:proofErr w:type="spellStart"/>
      <w:r w:rsidRPr="00C36D0B">
        <w:rPr>
          <w:i/>
          <w:sz w:val="18"/>
          <w:szCs w:val="18"/>
        </w:rPr>
        <w:t>Merilees</w:t>
      </w:r>
      <w:proofErr w:type="spellEnd"/>
      <w:r w:rsidRPr="00C36D0B">
        <w:rPr>
          <w:i/>
          <w:sz w:val="18"/>
          <w:szCs w:val="18"/>
        </w:rPr>
        <w:t xml:space="preserve"> </w:t>
      </w:r>
      <w:r w:rsidRPr="00C36D0B">
        <w:rPr>
          <w:sz w:val="18"/>
          <w:szCs w:val="18"/>
        </w:rPr>
        <w:t xml:space="preserve">[2009] NZCA 59 at [24]; </w:t>
      </w:r>
      <w:proofErr w:type="spellStart"/>
      <w:r w:rsidRPr="00C36D0B">
        <w:rPr>
          <w:i/>
          <w:sz w:val="18"/>
          <w:szCs w:val="18"/>
        </w:rPr>
        <w:t>Sungsuwanv</w:t>
      </w:r>
      <w:proofErr w:type="spellEnd"/>
      <w:r w:rsidRPr="00C36D0B">
        <w:rPr>
          <w:i/>
          <w:sz w:val="18"/>
          <w:szCs w:val="18"/>
        </w:rPr>
        <w:t xml:space="preserve"> R</w:t>
      </w:r>
      <w:r w:rsidRPr="00C36D0B">
        <w:rPr>
          <w:sz w:val="18"/>
          <w:szCs w:val="18"/>
        </w:rPr>
        <w:t xml:space="preserve"> [2005] NZSC 57, [2006] 1 NZLR 730 at [70].</w:t>
      </w:r>
    </w:p>
  </w:footnote>
  <w:footnote w:id="20">
    <w:p w:rsidR="00E02F2D" w:rsidRPr="00C36D0B" w:rsidRDefault="00E02F2D" w:rsidP="00C36D0B">
      <w:pPr>
        <w:pStyle w:val="FootnoteText"/>
        <w:spacing w:line="240" w:lineRule="auto"/>
        <w:rPr>
          <w:sz w:val="18"/>
          <w:szCs w:val="18"/>
          <w:lang w:val="en-NZ"/>
        </w:rPr>
      </w:pPr>
      <w:r w:rsidRPr="00C36D0B">
        <w:rPr>
          <w:rStyle w:val="FootnoteReference"/>
          <w:sz w:val="18"/>
          <w:szCs w:val="18"/>
        </w:rPr>
        <w:footnoteRef/>
      </w:r>
      <w:r w:rsidRPr="00C36D0B">
        <w:rPr>
          <w:sz w:val="18"/>
          <w:szCs w:val="18"/>
        </w:rPr>
        <w:t xml:space="preserve"> </w:t>
      </w:r>
      <w:r>
        <w:rPr>
          <w:sz w:val="18"/>
          <w:szCs w:val="18"/>
        </w:rPr>
        <w:tab/>
      </w:r>
      <w:r w:rsidRPr="00C36D0B">
        <w:rPr>
          <w:i/>
          <w:sz w:val="18"/>
          <w:szCs w:val="18"/>
        </w:rPr>
        <w:t>Department of Corrections v Thorpe</w:t>
      </w:r>
      <w:r w:rsidRPr="00C36D0B">
        <w:rPr>
          <w:sz w:val="18"/>
          <w:szCs w:val="18"/>
        </w:rPr>
        <w:t xml:space="preserve"> [2017] NZHC 2559 at [14].</w:t>
      </w:r>
    </w:p>
  </w:footnote>
  <w:footnote w:id="21">
    <w:p w:rsidR="00E02F2D" w:rsidRPr="00C36D0B" w:rsidRDefault="00E02F2D" w:rsidP="00C36D0B">
      <w:pPr>
        <w:pStyle w:val="FootnoteText"/>
        <w:spacing w:line="240" w:lineRule="auto"/>
        <w:rPr>
          <w:sz w:val="18"/>
          <w:szCs w:val="18"/>
          <w:lang w:val="en-NZ"/>
        </w:rPr>
      </w:pPr>
      <w:r w:rsidRPr="00C36D0B">
        <w:rPr>
          <w:rStyle w:val="FootnoteReference"/>
          <w:sz w:val="18"/>
          <w:szCs w:val="18"/>
        </w:rPr>
        <w:footnoteRef/>
      </w:r>
      <w:r w:rsidRPr="00C36D0B">
        <w:rPr>
          <w:sz w:val="18"/>
          <w:szCs w:val="18"/>
        </w:rPr>
        <w:t xml:space="preserve"> </w:t>
      </w:r>
      <w:r>
        <w:rPr>
          <w:sz w:val="18"/>
          <w:szCs w:val="18"/>
        </w:rPr>
        <w:tab/>
      </w:r>
      <w:r w:rsidRPr="00C36D0B">
        <w:rPr>
          <w:sz w:val="18"/>
          <w:szCs w:val="18"/>
        </w:rPr>
        <w:t xml:space="preserve">Parole Act 2002 s </w:t>
      </w:r>
      <w:proofErr w:type="gramStart"/>
      <w:r w:rsidRPr="00C36D0B">
        <w:rPr>
          <w:sz w:val="18"/>
          <w:szCs w:val="18"/>
        </w:rPr>
        <w:t>197JA(</w:t>
      </w:r>
      <w:proofErr w:type="gramEnd"/>
      <w:r w:rsidRPr="00C36D0B">
        <w:rPr>
          <w:sz w:val="18"/>
          <w:szCs w:val="18"/>
        </w:rPr>
        <w:t>k).</w:t>
      </w:r>
    </w:p>
  </w:footnote>
  <w:footnote w:id="22">
    <w:p w:rsidR="00E02F2D" w:rsidRPr="00C36D0B" w:rsidRDefault="00E02F2D" w:rsidP="00C36D0B">
      <w:pPr>
        <w:pStyle w:val="FootnoteText"/>
        <w:spacing w:line="240" w:lineRule="auto"/>
        <w:rPr>
          <w:sz w:val="18"/>
          <w:szCs w:val="18"/>
          <w:lang w:val="en-NZ"/>
        </w:rPr>
      </w:pPr>
      <w:r w:rsidRPr="00C36D0B">
        <w:rPr>
          <w:rStyle w:val="FootnoteReference"/>
          <w:sz w:val="18"/>
          <w:szCs w:val="18"/>
        </w:rPr>
        <w:footnoteRef/>
      </w:r>
      <w:r w:rsidRPr="00C36D0B">
        <w:rPr>
          <w:sz w:val="18"/>
          <w:szCs w:val="18"/>
        </w:rPr>
        <w:t xml:space="preserve"> </w:t>
      </w:r>
      <w:r>
        <w:rPr>
          <w:sz w:val="18"/>
          <w:szCs w:val="18"/>
        </w:rPr>
        <w:tab/>
      </w:r>
      <w:proofErr w:type="spellStart"/>
      <w:r w:rsidRPr="00C36D0B">
        <w:rPr>
          <w:i/>
          <w:sz w:val="18"/>
          <w:szCs w:val="18"/>
        </w:rPr>
        <w:t>Moonen</w:t>
      </w:r>
      <w:proofErr w:type="spellEnd"/>
      <w:r w:rsidRPr="00C36D0B">
        <w:rPr>
          <w:i/>
          <w:sz w:val="18"/>
          <w:szCs w:val="18"/>
        </w:rPr>
        <w:t xml:space="preserve"> v Film and Literature Board of Review</w:t>
      </w:r>
      <w:r w:rsidRPr="00C36D0B">
        <w:rPr>
          <w:sz w:val="18"/>
          <w:szCs w:val="18"/>
        </w:rPr>
        <w:t xml:space="preserve"> [2000] 2 NZLR 9 (CA) at [18].</w:t>
      </w:r>
    </w:p>
  </w:footnote>
  <w:footnote w:id="23">
    <w:p w:rsidR="00E02F2D" w:rsidRPr="00C36D0B" w:rsidRDefault="00E02F2D" w:rsidP="00C36D0B">
      <w:pPr>
        <w:pStyle w:val="FootnoteText"/>
        <w:spacing w:line="240" w:lineRule="auto"/>
        <w:rPr>
          <w:sz w:val="18"/>
          <w:szCs w:val="18"/>
          <w:lang w:val="en-NZ"/>
        </w:rPr>
      </w:pPr>
      <w:r w:rsidRPr="00C36D0B">
        <w:rPr>
          <w:rStyle w:val="FootnoteReference"/>
          <w:sz w:val="18"/>
          <w:szCs w:val="18"/>
        </w:rPr>
        <w:footnoteRef/>
      </w:r>
      <w:r>
        <w:rPr>
          <w:sz w:val="18"/>
          <w:szCs w:val="18"/>
        </w:rPr>
        <w:t xml:space="preserve"> </w:t>
      </w:r>
      <w:r>
        <w:rPr>
          <w:sz w:val="18"/>
          <w:szCs w:val="18"/>
        </w:rPr>
        <w:tab/>
      </w:r>
      <w:r w:rsidRPr="00C36D0B">
        <w:rPr>
          <w:i/>
          <w:sz w:val="18"/>
          <w:szCs w:val="18"/>
        </w:rPr>
        <w:t>Hansen v R</w:t>
      </w:r>
      <w:r w:rsidRPr="00C36D0B">
        <w:rPr>
          <w:sz w:val="18"/>
          <w:szCs w:val="18"/>
        </w:rPr>
        <w:t xml:space="preserve"> [2007] NZSC 7, [2007] 3 NZLR 1 at [104].</w:t>
      </w:r>
    </w:p>
  </w:footnote>
  <w:footnote w:id="24">
    <w:p w:rsidR="00E02F2D" w:rsidRPr="00372480" w:rsidRDefault="00E02F2D" w:rsidP="008419B7">
      <w:pPr>
        <w:pStyle w:val="FootnoteText"/>
        <w:spacing w:line="240" w:lineRule="auto"/>
        <w:rPr>
          <w:sz w:val="18"/>
          <w:szCs w:val="18"/>
          <w:lang w:val="en-NZ"/>
        </w:rPr>
      </w:pPr>
      <w:r w:rsidRPr="00FA7CB4">
        <w:rPr>
          <w:rStyle w:val="FootnoteReference"/>
          <w:sz w:val="18"/>
          <w:szCs w:val="18"/>
        </w:rPr>
        <w:footnoteRef/>
      </w:r>
      <w:r>
        <w:rPr>
          <w:sz w:val="18"/>
          <w:szCs w:val="18"/>
        </w:rPr>
        <w:t xml:space="preserve"> </w:t>
      </w:r>
      <w:r>
        <w:rPr>
          <w:sz w:val="18"/>
          <w:szCs w:val="18"/>
        </w:rPr>
        <w:tab/>
      </w:r>
      <w:r w:rsidRPr="00372480">
        <w:rPr>
          <w:rStyle w:val="Hyperlink"/>
          <w:color w:val="auto"/>
          <w:sz w:val="18"/>
          <w:szCs w:val="18"/>
          <w:u w:val="none"/>
        </w:rPr>
        <w:t xml:space="preserve">subject to available resources: s.52 Corrections Act 2004 </w:t>
      </w:r>
    </w:p>
  </w:footnote>
  <w:footnote w:id="25">
    <w:p w:rsidR="00E02F2D" w:rsidRPr="00372480" w:rsidRDefault="00E02F2D" w:rsidP="008419B7">
      <w:pPr>
        <w:pStyle w:val="FootnoteText"/>
        <w:spacing w:line="240" w:lineRule="auto"/>
        <w:rPr>
          <w:sz w:val="18"/>
          <w:szCs w:val="18"/>
          <w:lang w:val="en-NZ"/>
        </w:rPr>
      </w:pPr>
      <w:r w:rsidRPr="00372480">
        <w:rPr>
          <w:rStyle w:val="FootnoteReference"/>
          <w:sz w:val="18"/>
          <w:szCs w:val="18"/>
        </w:rPr>
        <w:footnoteRef/>
      </w:r>
      <w:r w:rsidRPr="00372480">
        <w:rPr>
          <w:sz w:val="18"/>
          <w:szCs w:val="18"/>
        </w:rPr>
        <w:t xml:space="preserve"> </w:t>
      </w:r>
      <w:r>
        <w:rPr>
          <w:sz w:val="18"/>
          <w:szCs w:val="18"/>
        </w:rPr>
        <w:tab/>
      </w:r>
      <w:r w:rsidRPr="00372480">
        <w:rPr>
          <w:sz w:val="18"/>
          <w:szCs w:val="18"/>
        </w:rPr>
        <w:t>A</w:t>
      </w:r>
      <w:r w:rsidRPr="00372480">
        <w:rPr>
          <w:rStyle w:val="Hyperlink"/>
          <w:color w:val="auto"/>
          <w:sz w:val="18"/>
          <w:szCs w:val="18"/>
          <w:u w:val="none"/>
        </w:rPr>
        <w:t xml:space="preserve">t [71]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D17"/>
    <w:multiLevelType w:val="hybridMultilevel"/>
    <w:tmpl w:val="A9A25A8E"/>
    <w:lvl w:ilvl="0" w:tplc="1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FAF5980"/>
    <w:multiLevelType w:val="hybridMultilevel"/>
    <w:tmpl w:val="F7B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3127A"/>
    <w:multiLevelType w:val="hybridMultilevel"/>
    <w:tmpl w:val="8C8A0F7A"/>
    <w:lvl w:ilvl="0" w:tplc="B338E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F3583"/>
    <w:multiLevelType w:val="hybridMultilevel"/>
    <w:tmpl w:val="715C5D96"/>
    <w:lvl w:ilvl="0" w:tplc="4ED25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82B60"/>
    <w:multiLevelType w:val="hybridMultilevel"/>
    <w:tmpl w:val="7D547C3E"/>
    <w:lvl w:ilvl="0" w:tplc="85824E76">
      <w:start w:val="1"/>
      <w:numFmt w:val="decimal"/>
      <w:pStyle w:val="Heading3"/>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A20503"/>
    <w:multiLevelType w:val="hybridMultilevel"/>
    <w:tmpl w:val="CAD60CB4"/>
    <w:lvl w:ilvl="0" w:tplc="2BD6F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F3769"/>
    <w:multiLevelType w:val="hybridMultilevel"/>
    <w:tmpl w:val="634A710C"/>
    <w:lvl w:ilvl="0" w:tplc="B38A5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E2068"/>
    <w:multiLevelType w:val="hybridMultilevel"/>
    <w:tmpl w:val="632E44F8"/>
    <w:lvl w:ilvl="0" w:tplc="02B4F706">
      <w:start w:val="1"/>
      <w:numFmt w:val="upperRoman"/>
      <w:pStyle w:val="Heading1"/>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443E30C5"/>
    <w:multiLevelType w:val="hybridMultilevel"/>
    <w:tmpl w:val="CC960E10"/>
    <w:lvl w:ilvl="0" w:tplc="60680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778F8"/>
    <w:multiLevelType w:val="hybridMultilevel"/>
    <w:tmpl w:val="39B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717F5"/>
    <w:multiLevelType w:val="hybridMultilevel"/>
    <w:tmpl w:val="1706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915CB7"/>
    <w:multiLevelType w:val="hybridMultilevel"/>
    <w:tmpl w:val="5A281E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55602"/>
    <w:multiLevelType w:val="hybridMultilevel"/>
    <w:tmpl w:val="1310BC3E"/>
    <w:lvl w:ilvl="0" w:tplc="7A7EA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C1460"/>
    <w:multiLevelType w:val="hybridMultilevel"/>
    <w:tmpl w:val="B6EAA81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46304"/>
    <w:multiLevelType w:val="hybridMultilevel"/>
    <w:tmpl w:val="8C74D81C"/>
    <w:lvl w:ilvl="0" w:tplc="E4AAE2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942D9E"/>
    <w:multiLevelType w:val="hybridMultilevel"/>
    <w:tmpl w:val="3822FED0"/>
    <w:lvl w:ilvl="0" w:tplc="9A52D84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E3375"/>
    <w:multiLevelType w:val="hybridMultilevel"/>
    <w:tmpl w:val="472CF858"/>
    <w:lvl w:ilvl="0" w:tplc="614402A2">
      <w:start w:val="1"/>
      <w:numFmt w:val="upperLetter"/>
      <w:pStyle w:val="Heading2"/>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16"/>
  </w:num>
  <w:num w:numId="3">
    <w:abstractNumId w:val="4"/>
  </w:num>
  <w:num w:numId="4">
    <w:abstractNumId w:val="2"/>
  </w:num>
  <w:num w:numId="5">
    <w:abstractNumId w:val="1"/>
  </w:num>
  <w:num w:numId="6">
    <w:abstractNumId w:val="10"/>
  </w:num>
  <w:num w:numId="7">
    <w:abstractNumId w:val="14"/>
  </w:num>
  <w:num w:numId="8">
    <w:abstractNumId w:val="0"/>
  </w:num>
  <w:num w:numId="9">
    <w:abstractNumId w:val="11"/>
  </w:num>
  <w:num w:numId="10">
    <w:abstractNumId w:val="13"/>
  </w:num>
  <w:num w:numId="11">
    <w:abstractNumId w:val="9"/>
  </w:num>
  <w:num w:numId="12">
    <w:abstractNumId w:val="15"/>
  </w:num>
  <w:num w:numId="13">
    <w:abstractNumId w:val="6"/>
  </w:num>
  <w:num w:numId="14">
    <w:abstractNumId w:val="12"/>
  </w:num>
  <w:num w:numId="15">
    <w:abstractNumId w:val="8"/>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A1"/>
    <w:rsid w:val="0000165E"/>
    <w:rsid w:val="0001330C"/>
    <w:rsid w:val="000140C8"/>
    <w:rsid w:val="000213B8"/>
    <w:rsid w:val="00023F2D"/>
    <w:rsid w:val="00030D09"/>
    <w:rsid w:val="0004502C"/>
    <w:rsid w:val="00055278"/>
    <w:rsid w:val="00061031"/>
    <w:rsid w:val="00062A7B"/>
    <w:rsid w:val="000643EF"/>
    <w:rsid w:val="00070C27"/>
    <w:rsid w:val="00081186"/>
    <w:rsid w:val="0009308F"/>
    <w:rsid w:val="0009432E"/>
    <w:rsid w:val="000C0095"/>
    <w:rsid w:val="000C37F5"/>
    <w:rsid w:val="000C7282"/>
    <w:rsid w:val="000D4E26"/>
    <w:rsid w:val="000D5C7C"/>
    <w:rsid w:val="00104B45"/>
    <w:rsid w:val="00112A94"/>
    <w:rsid w:val="001151D2"/>
    <w:rsid w:val="00115A4C"/>
    <w:rsid w:val="001700C8"/>
    <w:rsid w:val="00174A40"/>
    <w:rsid w:val="001767FD"/>
    <w:rsid w:val="00180B19"/>
    <w:rsid w:val="001A1AF9"/>
    <w:rsid w:val="001A46C3"/>
    <w:rsid w:val="001B0908"/>
    <w:rsid w:val="001C502F"/>
    <w:rsid w:val="001D4E67"/>
    <w:rsid w:val="001D59F3"/>
    <w:rsid w:val="001F1008"/>
    <w:rsid w:val="001F2713"/>
    <w:rsid w:val="00205A85"/>
    <w:rsid w:val="002102DA"/>
    <w:rsid w:val="00213C49"/>
    <w:rsid w:val="00245E37"/>
    <w:rsid w:val="00264F74"/>
    <w:rsid w:val="00265E4F"/>
    <w:rsid w:val="00277D15"/>
    <w:rsid w:val="002927B3"/>
    <w:rsid w:val="002B5716"/>
    <w:rsid w:val="002C4318"/>
    <w:rsid w:val="002F59D8"/>
    <w:rsid w:val="00363518"/>
    <w:rsid w:val="00372480"/>
    <w:rsid w:val="0037497A"/>
    <w:rsid w:val="00390197"/>
    <w:rsid w:val="00393EA4"/>
    <w:rsid w:val="003A3064"/>
    <w:rsid w:val="003C4C63"/>
    <w:rsid w:val="003D4AD7"/>
    <w:rsid w:val="003F23B7"/>
    <w:rsid w:val="004252A0"/>
    <w:rsid w:val="004365E3"/>
    <w:rsid w:val="00447E69"/>
    <w:rsid w:val="00452F60"/>
    <w:rsid w:val="00476031"/>
    <w:rsid w:val="004D0CC6"/>
    <w:rsid w:val="004D522E"/>
    <w:rsid w:val="00517E7F"/>
    <w:rsid w:val="00533B68"/>
    <w:rsid w:val="0053782F"/>
    <w:rsid w:val="00540D10"/>
    <w:rsid w:val="00565907"/>
    <w:rsid w:val="005718AF"/>
    <w:rsid w:val="005871E0"/>
    <w:rsid w:val="00597EF4"/>
    <w:rsid w:val="005B0004"/>
    <w:rsid w:val="005B09CB"/>
    <w:rsid w:val="005E26B9"/>
    <w:rsid w:val="00606FED"/>
    <w:rsid w:val="006102E0"/>
    <w:rsid w:val="00620FD0"/>
    <w:rsid w:val="00636EA6"/>
    <w:rsid w:val="00657D99"/>
    <w:rsid w:val="00663D41"/>
    <w:rsid w:val="00676A5C"/>
    <w:rsid w:val="006A575A"/>
    <w:rsid w:val="006C1CD7"/>
    <w:rsid w:val="006D53A1"/>
    <w:rsid w:val="00707AF6"/>
    <w:rsid w:val="00723C45"/>
    <w:rsid w:val="00727D69"/>
    <w:rsid w:val="00737421"/>
    <w:rsid w:val="00737ACC"/>
    <w:rsid w:val="00740887"/>
    <w:rsid w:val="00760ED7"/>
    <w:rsid w:val="0077630F"/>
    <w:rsid w:val="00792934"/>
    <w:rsid w:val="007A2FE7"/>
    <w:rsid w:val="007B6A11"/>
    <w:rsid w:val="007E177D"/>
    <w:rsid w:val="0082367B"/>
    <w:rsid w:val="008316F1"/>
    <w:rsid w:val="00834D65"/>
    <w:rsid w:val="00836E1E"/>
    <w:rsid w:val="0084145A"/>
    <w:rsid w:val="008419B7"/>
    <w:rsid w:val="00864885"/>
    <w:rsid w:val="0088579B"/>
    <w:rsid w:val="008A2AD5"/>
    <w:rsid w:val="008B39E6"/>
    <w:rsid w:val="008E5278"/>
    <w:rsid w:val="009073ED"/>
    <w:rsid w:val="00921EBC"/>
    <w:rsid w:val="009447BB"/>
    <w:rsid w:val="00952C8B"/>
    <w:rsid w:val="009531F8"/>
    <w:rsid w:val="00965ACD"/>
    <w:rsid w:val="00974EA6"/>
    <w:rsid w:val="00983AF7"/>
    <w:rsid w:val="009A18C9"/>
    <w:rsid w:val="009A2958"/>
    <w:rsid w:val="009A5CD6"/>
    <w:rsid w:val="009C68AD"/>
    <w:rsid w:val="009D72A5"/>
    <w:rsid w:val="00A0268B"/>
    <w:rsid w:val="00A35539"/>
    <w:rsid w:val="00A375CB"/>
    <w:rsid w:val="00A635AF"/>
    <w:rsid w:val="00A64659"/>
    <w:rsid w:val="00A75E95"/>
    <w:rsid w:val="00A80D2A"/>
    <w:rsid w:val="00A81841"/>
    <w:rsid w:val="00A939D3"/>
    <w:rsid w:val="00AA0299"/>
    <w:rsid w:val="00AB117D"/>
    <w:rsid w:val="00AB36E6"/>
    <w:rsid w:val="00AC051A"/>
    <w:rsid w:val="00AE0826"/>
    <w:rsid w:val="00AE6B0C"/>
    <w:rsid w:val="00AF08CB"/>
    <w:rsid w:val="00AF2367"/>
    <w:rsid w:val="00B068D4"/>
    <w:rsid w:val="00B1507A"/>
    <w:rsid w:val="00B414A5"/>
    <w:rsid w:val="00B60E9E"/>
    <w:rsid w:val="00B703BE"/>
    <w:rsid w:val="00B83A72"/>
    <w:rsid w:val="00BA71EE"/>
    <w:rsid w:val="00BB6F1B"/>
    <w:rsid w:val="00BB7B6A"/>
    <w:rsid w:val="00BC12F7"/>
    <w:rsid w:val="00BD00A9"/>
    <w:rsid w:val="00BD4E13"/>
    <w:rsid w:val="00BE6C69"/>
    <w:rsid w:val="00BF3FBB"/>
    <w:rsid w:val="00C037E8"/>
    <w:rsid w:val="00C2216F"/>
    <w:rsid w:val="00C25077"/>
    <w:rsid w:val="00C36D0B"/>
    <w:rsid w:val="00C80F25"/>
    <w:rsid w:val="00C850C5"/>
    <w:rsid w:val="00C92991"/>
    <w:rsid w:val="00CB432F"/>
    <w:rsid w:val="00CC40B0"/>
    <w:rsid w:val="00D05E25"/>
    <w:rsid w:val="00D25972"/>
    <w:rsid w:val="00D426D8"/>
    <w:rsid w:val="00D4717F"/>
    <w:rsid w:val="00D70B46"/>
    <w:rsid w:val="00D73056"/>
    <w:rsid w:val="00D76CBC"/>
    <w:rsid w:val="00DA5D2F"/>
    <w:rsid w:val="00DB6970"/>
    <w:rsid w:val="00DD7D29"/>
    <w:rsid w:val="00DE04B2"/>
    <w:rsid w:val="00E02F2D"/>
    <w:rsid w:val="00E2712B"/>
    <w:rsid w:val="00E412C9"/>
    <w:rsid w:val="00E61C1A"/>
    <w:rsid w:val="00E74094"/>
    <w:rsid w:val="00E75E59"/>
    <w:rsid w:val="00EA4F5F"/>
    <w:rsid w:val="00EC4DFD"/>
    <w:rsid w:val="00ED5996"/>
    <w:rsid w:val="00EF1242"/>
    <w:rsid w:val="00F035CD"/>
    <w:rsid w:val="00F11384"/>
    <w:rsid w:val="00F30242"/>
    <w:rsid w:val="00F65527"/>
    <w:rsid w:val="00F85F0E"/>
    <w:rsid w:val="00FB277F"/>
    <w:rsid w:val="00FB4E36"/>
    <w:rsid w:val="00FD51F0"/>
    <w:rsid w:val="00FE1349"/>
    <w:rsid w:val="00FE294D"/>
    <w:rsid w:val="00FE564F"/>
    <w:rsid w:val="00FF5B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3F424-1C23-4FEC-9D4E-095639A7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D15"/>
    <w:rPr>
      <w:rFonts w:ascii="Verdana" w:hAnsi="Verdana"/>
    </w:rPr>
  </w:style>
  <w:style w:type="paragraph" w:styleId="Heading1">
    <w:name w:val="heading 1"/>
    <w:basedOn w:val="Normal"/>
    <w:next w:val="Normal"/>
    <w:link w:val="Heading1Char"/>
    <w:qFormat/>
    <w:rsid w:val="006D53A1"/>
    <w:pPr>
      <w:keepNext/>
      <w:numPr>
        <w:numId w:val="1"/>
      </w:numPr>
      <w:spacing w:after="0" w:line="300" w:lineRule="auto"/>
      <w:jc w:val="both"/>
      <w:outlineLvl w:val="0"/>
    </w:pPr>
    <w:rPr>
      <w:rFonts w:ascii="Times New Roman" w:eastAsia="Times New Roman" w:hAnsi="Times New Roman" w:cs="Arial"/>
      <w:bCs/>
      <w:i/>
      <w:kern w:val="32"/>
      <w:sz w:val="28"/>
      <w:szCs w:val="32"/>
      <w:lang w:val="en-US"/>
    </w:rPr>
  </w:style>
  <w:style w:type="paragraph" w:styleId="Heading2">
    <w:name w:val="heading 2"/>
    <w:basedOn w:val="Normal"/>
    <w:next w:val="Normal"/>
    <w:link w:val="Heading2Char"/>
    <w:qFormat/>
    <w:rsid w:val="006D53A1"/>
    <w:pPr>
      <w:keepNext/>
      <w:numPr>
        <w:numId w:val="2"/>
      </w:numPr>
      <w:spacing w:before="240" w:after="60" w:line="300" w:lineRule="auto"/>
      <w:ind w:left="357" w:hanging="357"/>
      <w:jc w:val="both"/>
      <w:outlineLvl w:val="1"/>
    </w:pPr>
    <w:rPr>
      <w:rFonts w:ascii="Times New Roman" w:eastAsia="Times New Roman" w:hAnsi="Times New Roman" w:cs="Arial"/>
      <w:b/>
      <w:bCs/>
      <w:i/>
      <w:iCs/>
      <w:sz w:val="24"/>
      <w:szCs w:val="28"/>
      <w:lang w:val="en-US"/>
    </w:rPr>
  </w:style>
  <w:style w:type="paragraph" w:styleId="Heading3">
    <w:name w:val="heading 3"/>
    <w:basedOn w:val="Normal"/>
    <w:next w:val="Normal"/>
    <w:link w:val="Heading3Char"/>
    <w:qFormat/>
    <w:rsid w:val="006D53A1"/>
    <w:pPr>
      <w:keepNext/>
      <w:numPr>
        <w:numId w:val="3"/>
      </w:numPr>
      <w:spacing w:before="240" w:after="60" w:line="300" w:lineRule="auto"/>
      <w:ind w:left="357" w:hanging="357"/>
      <w:jc w:val="both"/>
      <w:outlineLvl w:val="2"/>
    </w:pPr>
    <w:rPr>
      <w:rFonts w:ascii="Times New Roman" w:eastAsia="Times New Roman" w:hAnsi="Times New Roman" w:cs="Arial"/>
      <w:bCs/>
      <w:i/>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53A1"/>
    <w:rPr>
      <w:rFonts w:ascii="Times New Roman" w:eastAsia="Times New Roman" w:hAnsi="Times New Roman" w:cs="Arial"/>
      <w:bCs/>
      <w:i/>
      <w:kern w:val="32"/>
      <w:sz w:val="28"/>
      <w:szCs w:val="32"/>
      <w:lang w:val="en-US"/>
    </w:rPr>
  </w:style>
  <w:style w:type="character" w:customStyle="1" w:styleId="Heading2Char">
    <w:name w:val="Heading 2 Char"/>
    <w:basedOn w:val="DefaultParagraphFont"/>
    <w:link w:val="Heading2"/>
    <w:rsid w:val="006D53A1"/>
    <w:rPr>
      <w:rFonts w:ascii="Times New Roman" w:eastAsia="Times New Roman" w:hAnsi="Times New Roman" w:cs="Arial"/>
      <w:b/>
      <w:bCs/>
      <w:i/>
      <w:iCs/>
      <w:sz w:val="24"/>
      <w:szCs w:val="28"/>
      <w:lang w:val="en-US"/>
    </w:rPr>
  </w:style>
  <w:style w:type="character" w:customStyle="1" w:styleId="Heading3Char">
    <w:name w:val="Heading 3 Char"/>
    <w:basedOn w:val="DefaultParagraphFont"/>
    <w:link w:val="Heading3"/>
    <w:rsid w:val="006D53A1"/>
    <w:rPr>
      <w:rFonts w:ascii="Times New Roman" w:eastAsia="Times New Roman" w:hAnsi="Times New Roman" w:cs="Arial"/>
      <w:bCs/>
      <w:i/>
      <w:sz w:val="24"/>
      <w:szCs w:val="26"/>
      <w:lang w:val="en-US"/>
    </w:rPr>
  </w:style>
  <w:style w:type="paragraph" w:styleId="Quote">
    <w:name w:val="Quote"/>
    <w:link w:val="QuoteChar"/>
    <w:qFormat/>
    <w:rsid w:val="006D53A1"/>
    <w:pPr>
      <w:spacing w:after="0" w:line="300" w:lineRule="auto"/>
      <w:ind w:left="567" w:right="567"/>
      <w:jc w:val="both"/>
    </w:pPr>
    <w:rPr>
      <w:rFonts w:ascii="Times New Roman" w:eastAsia="Times New Roman" w:hAnsi="Times New Roman" w:cs="Times New Roman"/>
      <w:szCs w:val="24"/>
      <w:lang w:val="en-US"/>
    </w:rPr>
  </w:style>
  <w:style w:type="character" w:customStyle="1" w:styleId="QuoteChar">
    <w:name w:val="Quote Char"/>
    <w:basedOn w:val="DefaultParagraphFont"/>
    <w:link w:val="Quote"/>
    <w:rsid w:val="006D53A1"/>
    <w:rPr>
      <w:rFonts w:ascii="Times New Roman" w:eastAsia="Times New Roman" w:hAnsi="Times New Roman" w:cs="Times New Roman"/>
      <w:szCs w:val="24"/>
      <w:lang w:val="en-US"/>
    </w:rPr>
  </w:style>
  <w:style w:type="paragraph" w:styleId="FootnoteText">
    <w:name w:val="footnote text"/>
    <w:basedOn w:val="Normal"/>
    <w:link w:val="FootnoteTextChar"/>
    <w:uiPriority w:val="99"/>
    <w:unhideWhenUsed/>
    <w:rsid w:val="006D53A1"/>
    <w:pPr>
      <w:spacing w:after="0" w:line="30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D53A1"/>
    <w:rPr>
      <w:rFonts w:ascii="Times New Roman" w:eastAsia="Times New Roman" w:hAnsi="Times New Roman" w:cs="Times New Roman"/>
      <w:sz w:val="20"/>
      <w:szCs w:val="20"/>
      <w:lang w:val="en-US"/>
    </w:rPr>
  </w:style>
  <w:style w:type="character" w:styleId="FootnoteReference">
    <w:name w:val="footnote reference"/>
    <w:uiPriority w:val="99"/>
    <w:unhideWhenUsed/>
    <w:rsid w:val="006D53A1"/>
    <w:rPr>
      <w:vertAlign w:val="superscript"/>
    </w:rPr>
  </w:style>
  <w:style w:type="paragraph" w:customStyle="1" w:styleId="Paraheads">
    <w:name w:val="Para heads"/>
    <w:basedOn w:val="Normal"/>
    <w:qFormat/>
    <w:rsid w:val="006D53A1"/>
    <w:pPr>
      <w:spacing w:after="0" w:line="300" w:lineRule="auto"/>
      <w:ind w:left="284"/>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D53A1"/>
    <w:pPr>
      <w:spacing w:after="0" w:line="300" w:lineRule="auto"/>
      <w:ind w:left="720"/>
      <w:contextualSpacing/>
      <w:jc w:val="both"/>
    </w:pPr>
    <w:rPr>
      <w:rFonts w:ascii="Times New Roman" w:eastAsia="Times New Roman" w:hAnsi="Times New Roman" w:cs="Times New Roman"/>
      <w:sz w:val="24"/>
      <w:szCs w:val="24"/>
      <w:lang w:val="en-US"/>
    </w:rPr>
  </w:style>
  <w:style w:type="paragraph" w:customStyle="1" w:styleId="element">
    <w:name w:val="element"/>
    <w:basedOn w:val="Normal"/>
    <w:rsid w:val="000C009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0C0095"/>
    <w:rPr>
      <w:color w:val="0000FF"/>
      <w:u w:val="single"/>
    </w:rPr>
  </w:style>
  <w:style w:type="character" w:customStyle="1" w:styleId="m2210628790352314292lblnewsfulltext">
    <w:name w:val="m_2210628790352314292lblnewsfulltext"/>
    <w:basedOn w:val="DefaultParagraphFont"/>
    <w:rsid w:val="00CC40B0"/>
  </w:style>
  <w:style w:type="character" w:styleId="HTMLCite">
    <w:name w:val="HTML Cite"/>
    <w:basedOn w:val="DefaultParagraphFont"/>
    <w:uiPriority w:val="99"/>
    <w:semiHidden/>
    <w:unhideWhenUsed/>
    <w:rsid w:val="00E74094"/>
    <w:rPr>
      <w:i/>
      <w:iCs/>
    </w:rPr>
  </w:style>
  <w:style w:type="character" w:styleId="HTMLDefinition">
    <w:name w:val="HTML Definition"/>
    <w:basedOn w:val="DefaultParagraphFont"/>
    <w:uiPriority w:val="99"/>
    <w:semiHidden/>
    <w:unhideWhenUsed/>
    <w:rsid w:val="00606FED"/>
    <w:rPr>
      <w:i/>
      <w:iCs/>
    </w:rPr>
  </w:style>
  <w:style w:type="paragraph" w:styleId="BalloonText">
    <w:name w:val="Balloon Text"/>
    <w:basedOn w:val="Normal"/>
    <w:link w:val="BalloonTextChar"/>
    <w:uiPriority w:val="99"/>
    <w:semiHidden/>
    <w:unhideWhenUsed/>
    <w:rsid w:val="00606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ED"/>
    <w:rPr>
      <w:rFonts w:ascii="Segoe UI" w:hAnsi="Segoe UI" w:cs="Segoe UI"/>
      <w:sz w:val="18"/>
      <w:szCs w:val="18"/>
    </w:rPr>
  </w:style>
  <w:style w:type="paragraph" w:styleId="NormalWeb">
    <w:name w:val="Normal (Web)"/>
    <w:basedOn w:val="Normal"/>
    <w:uiPriority w:val="99"/>
    <w:unhideWhenUsed/>
    <w:rsid w:val="00AE6B0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FE1349"/>
    <w:rPr>
      <w:i/>
      <w:iCs/>
    </w:rPr>
  </w:style>
  <w:style w:type="paragraph" w:styleId="Header">
    <w:name w:val="header"/>
    <w:basedOn w:val="Normal"/>
    <w:link w:val="HeaderChar"/>
    <w:uiPriority w:val="99"/>
    <w:unhideWhenUsed/>
    <w:rsid w:val="005E2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6B9"/>
    <w:rPr>
      <w:rFonts w:ascii="Verdana" w:hAnsi="Verdana"/>
    </w:rPr>
  </w:style>
  <w:style w:type="paragraph" w:styleId="Footer">
    <w:name w:val="footer"/>
    <w:basedOn w:val="Normal"/>
    <w:link w:val="FooterChar"/>
    <w:uiPriority w:val="99"/>
    <w:unhideWhenUsed/>
    <w:rsid w:val="005E2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6B9"/>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68638">
      <w:bodyDiv w:val="1"/>
      <w:marLeft w:val="0"/>
      <w:marRight w:val="0"/>
      <w:marTop w:val="0"/>
      <w:marBottom w:val="0"/>
      <w:divBdr>
        <w:top w:val="none" w:sz="0" w:space="0" w:color="auto"/>
        <w:left w:val="none" w:sz="0" w:space="0" w:color="auto"/>
        <w:bottom w:val="none" w:sz="0" w:space="0" w:color="auto"/>
        <w:right w:val="none" w:sz="0" w:space="0" w:color="auto"/>
      </w:divBdr>
    </w:div>
    <w:div w:id="410859757">
      <w:bodyDiv w:val="1"/>
      <w:marLeft w:val="0"/>
      <w:marRight w:val="0"/>
      <w:marTop w:val="0"/>
      <w:marBottom w:val="0"/>
      <w:divBdr>
        <w:top w:val="none" w:sz="0" w:space="0" w:color="auto"/>
        <w:left w:val="none" w:sz="0" w:space="0" w:color="auto"/>
        <w:bottom w:val="none" w:sz="0" w:space="0" w:color="auto"/>
        <w:right w:val="none" w:sz="0" w:space="0" w:color="auto"/>
      </w:divBdr>
    </w:div>
    <w:div w:id="599724237">
      <w:bodyDiv w:val="1"/>
      <w:marLeft w:val="0"/>
      <w:marRight w:val="0"/>
      <w:marTop w:val="0"/>
      <w:marBottom w:val="0"/>
      <w:divBdr>
        <w:top w:val="none" w:sz="0" w:space="0" w:color="auto"/>
        <w:left w:val="none" w:sz="0" w:space="0" w:color="auto"/>
        <w:bottom w:val="none" w:sz="0" w:space="0" w:color="auto"/>
        <w:right w:val="none" w:sz="0" w:space="0" w:color="auto"/>
      </w:divBdr>
      <w:divsChild>
        <w:div w:id="1678343454">
          <w:marLeft w:val="0"/>
          <w:marRight w:val="0"/>
          <w:marTop w:val="0"/>
          <w:marBottom w:val="0"/>
          <w:divBdr>
            <w:top w:val="none" w:sz="0" w:space="0" w:color="auto"/>
            <w:left w:val="none" w:sz="0" w:space="0" w:color="auto"/>
            <w:bottom w:val="none" w:sz="0" w:space="0" w:color="auto"/>
            <w:right w:val="none" w:sz="0" w:space="0" w:color="auto"/>
          </w:divBdr>
        </w:div>
        <w:div w:id="414595340">
          <w:marLeft w:val="0"/>
          <w:marRight w:val="0"/>
          <w:marTop w:val="0"/>
          <w:marBottom w:val="0"/>
          <w:divBdr>
            <w:top w:val="none" w:sz="0" w:space="0" w:color="auto"/>
            <w:left w:val="none" w:sz="0" w:space="0" w:color="auto"/>
            <w:bottom w:val="none" w:sz="0" w:space="0" w:color="auto"/>
            <w:right w:val="none" w:sz="0" w:space="0" w:color="auto"/>
          </w:divBdr>
        </w:div>
        <w:div w:id="498279777">
          <w:marLeft w:val="0"/>
          <w:marRight w:val="0"/>
          <w:marTop w:val="0"/>
          <w:marBottom w:val="0"/>
          <w:divBdr>
            <w:top w:val="none" w:sz="0" w:space="0" w:color="auto"/>
            <w:left w:val="none" w:sz="0" w:space="0" w:color="auto"/>
            <w:bottom w:val="none" w:sz="0" w:space="0" w:color="auto"/>
            <w:right w:val="none" w:sz="0" w:space="0" w:color="auto"/>
          </w:divBdr>
        </w:div>
        <w:div w:id="406267020">
          <w:marLeft w:val="0"/>
          <w:marRight w:val="0"/>
          <w:marTop w:val="0"/>
          <w:marBottom w:val="0"/>
          <w:divBdr>
            <w:top w:val="none" w:sz="0" w:space="0" w:color="auto"/>
            <w:left w:val="none" w:sz="0" w:space="0" w:color="auto"/>
            <w:bottom w:val="none" w:sz="0" w:space="0" w:color="auto"/>
            <w:right w:val="none" w:sz="0" w:space="0" w:color="auto"/>
          </w:divBdr>
        </w:div>
      </w:divsChild>
    </w:div>
    <w:div w:id="977033728">
      <w:bodyDiv w:val="1"/>
      <w:marLeft w:val="0"/>
      <w:marRight w:val="0"/>
      <w:marTop w:val="0"/>
      <w:marBottom w:val="0"/>
      <w:divBdr>
        <w:top w:val="none" w:sz="0" w:space="0" w:color="auto"/>
        <w:left w:val="none" w:sz="0" w:space="0" w:color="auto"/>
        <w:bottom w:val="none" w:sz="0" w:space="0" w:color="auto"/>
        <w:right w:val="none" w:sz="0" w:space="0" w:color="auto"/>
      </w:divBdr>
      <w:divsChild>
        <w:div w:id="1693801707">
          <w:marLeft w:val="0"/>
          <w:marRight w:val="0"/>
          <w:marTop w:val="0"/>
          <w:marBottom w:val="0"/>
          <w:divBdr>
            <w:top w:val="none" w:sz="0" w:space="0" w:color="auto"/>
            <w:left w:val="none" w:sz="0" w:space="0" w:color="auto"/>
            <w:bottom w:val="none" w:sz="0" w:space="0" w:color="auto"/>
            <w:right w:val="none" w:sz="0" w:space="0" w:color="auto"/>
          </w:divBdr>
        </w:div>
        <w:div w:id="930550883">
          <w:marLeft w:val="0"/>
          <w:marRight w:val="0"/>
          <w:marTop w:val="0"/>
          <w:marBottom w:val="0"/>
          <w:divBdr>
            <w:top w:val="none" w:sz="0" w:space="0" w:color="auto"/>
            <w:left w:val="none" w:sz="0" w:space="0" w:color="auto"/>
            <w:bottom w:val="none" w:sz="0" w:space="0" w:color="auto"/>
            <w:right w:val="none" w:sz="0" w:space="0" w:color="auto"/>
          </w:divBdr>
        </w:div>
      </w:divsChild>
    </w:div>
    <w:div w:id="997923789">
      <w:bodyDiv w:val="1"/>
      <w:marLeft w:val="0"/>
      <w:marRight w:val="0"/>
      <w:marTop w:val="0"/>
      <w:marBottom w:val="0"/>
      <w:divBdr>
        <w:top w:val="none" w:sz="0" w:space="0" w:color="auto"/>
        <w:left w:val="none" w:sz="0" w:space="0" w:color="auto"/>
        <w:bottom w:val="none" w:sz="0" w:space="0" w:color="auto"/>
        <w:right w:val="none" w:sz="0" w:space="0" w:color="auto"/>
      </w:divBdr>
      <w:divsChild>
        <w:div w:id="94323948">
          <w:marLeft w:val="0"/>
          <w:marRight w:val="0"/>
          <w:marTop w:val="0"/>
          <w:marBottom w:val="0"/>
          <w:divBdr>
            <w:top w:val="none" w:sz="0" w:space="0" w:color="auto"/>
            <w:left w:val="none" w:sz="0" w:space="0" w:color="auto"/>
            <w:bottom w:val="none" w:sz="0" w:space="0" w:color="auto"/>
            <w:right w:val="none" w:sz="0" w:space="0" w:color="auto"/>
          </w:divBdr>
        </w:div>
        <w:div w:id="665674366">
          <w:marLeft w:val="0"/>
          <w:marRight w:val="0"/>
          <w:marTop w:val="0"/>
          <w:marBottom w:val="0"/>
          <w:divBdr>
            <w:top w:val="none" w:sz="0" w:space="0" w:color="auto"/>
            <w:left w:val="none" w:sz="0" w:space="0" w:color="auto"/>
            <w:bottom w:val="none" w:sz="0" w:space="0" w:color="auto"/>
            <w:right w:val="none" w:sz="0" w:space="0" w:color="auto"/>
          </w:divBdr>
        </w:div>
        <w:div w:id="832374599">
          <w:marLeft w:val="0"/>
          <w:marRight w:val="0"/>
          <w:marTop w:val="0"/>
          <w:marBottom w:val="0"/>
          <w:divBdr>
            <w:top w:val="none" w:sz="0" w:space="0" w:color="auto"/>
            <w:left w:val="none" w:sz="0" w:space="0" w:color="auto"/>
            <w:bottom w:val="none" w:sz="0" w:space="0" w:color="auto"/>
            <w:right w:val="none" w:sz="0" w:space="0" w:color="auto"/>
          </w:divBdr>
        </w:div>
        <w:div w:id="1254048295">
          <w:marLeft w:val="0"/>
          <w:marRight w:val="0"/>
          <w:marTop w:val="0"/>
          <w:marBottom w:val="0"/>
          <w:divBdr>
            <w:top w:val="none" w:sz="0" w:space="0" w:color="auto"/>
            <w:left w:val="none" w:sz="0" w:space="0" w:color="auto"/>
            <w:bottom w:val="none" w:sz="0" w:space="0" w:color="auto"/>
            <w:right w:val="none" w:sz="0" w:space="0" w:color="auto"/>
          </w:divBdr>
        </w:div>
        <w:div w:id="2048605654">
          <w:marLeft w:val="0"/>
          <w:marRight w:val="0"/>
          <w:marTop w:val="0"/>
          <w:marBottom w:val="0"/>
          <w:divBdr>
            <w:top w:val="none" w:sz="0" w:space="0" w:color="auto"/>
            <w:left w:val="none" w:sz="0" w:space="0" w:color="auto"/>
            <w:bottom w:val="none" w:sz="0" w:space="0" w:color="auto"/>
            <w:right w:val="none" w:sz="0" w:space="0" w:color="auto"/>
          </w:divBdr>
        </w:div>
        <w:div w:id="1649092858">
          <w:marLeft w:val="0"/>
          <w:marRight w:val="0"/>
          <w:marTop w:val="0"/>
          <w:marBottom w:val="0"/>
          <w:divBdr>
            <w:top w:val="none" w:sz="0" w:space="0" w:color="auto"/>
            <w:left w:val="none" w:sz="0" w:space="0" w:color="auto"/>
            <w:bottom w:val="none" w:sz="0" w:space="0" w:color="auto"/>
            <w:right w:val="none" w:sz="0" w:space="0" w:color="auto"/>
          </w:divBdr>
        </w:div>
        <w:div w:id="91585337">
          <w:marLeft w:val="0"/>
          <w:marRight w:val="0"/>
          <w:marTop w:val="0"/>
          <w:marBottom w:val="0"/>
          <w:divBdr>
            <w:top w:val="none" w:sz="0" w:space="0" w:color="auto"/>
            <w:left w:val="none" w:sz="0" w:space="0" w:color="auto"/>
            <w:bottom w:val="none" w:sz="0" w:space="0" w:color="auto"/>
            <w:right w:val="none" w:sz="0" w:space="0" w:color="auto"/>
          </w:divBdr>
        </w:div>
        <w:div w:id="1817333016">
          <w:marLeft w:val="0"/>
          <w:marRight w:val="0"/>
          <w:marTop w:val="0"/>
          <w:marBottom w:val="0"/>
          <w:divBdr>
            <w:top w:val="none" w:sz="0" w:space="0" w:color="auto"/>
            <w:left w:val="none" w:sz="0" w:space="0" w:color="auto"/>
            <w:bottom w:val="none" w:sz="0" w:space="0" w:color="auto"/>
            <w:right w:val="none" w:sz="0" w:space="0" w:color="auto"/>
          </w:divBdr>
        </w:div>
        <w:div w:id="1020350366">
          <w:marLeft w:val="0"/>
          <w:marRight w:val="0"/>
          <w:marTop w:val="0"/>
          <w:marBottom w:val="0"/>
          <w:divBdr>
            <w:top w:val="none" w:sz="0" w:space="0" w:color="auto"/>
            <w:left w:val="none" w:sz="0" w:space="0" w:color="auto"/>
            <w:bottom w:val="none" w:sz="0" w:space="0" w:color="auto"/>
            <w:right w:val="none" w:sz="0" w:space="0" w:color="auto"/>
          </w:divBdr>
        </w:div>
        <w:div w:id="55865211">
          <w:marLeft w:val="0"/>
          <w:marRight w:val="0"/>
          <w:marTop w:val="0"/>
          <w:marBottom w:val="0"/>
          <w:divBdr>
            <w:top w:val="none" w:sz="0" w:space="0" w:color="auto"/>
            <w:left w:val="none" w:sz="0" w:space="0" w:color="auto"/>
            <w:bottom w:val="none" w:sz="0" w:space="0" w:color="auto"/>
            <w:right w:val="none" w:sz="0" w:space="0" w:color="auto"/>
          </w:divBdr>
        </w:div>
        <w:div w:id="1735660526">
          <w:marLeft w:val="0"/>
          <w:marRight w:val="0"/>
          <w:marTop w:val="0"/>
          <w:marBottom w:val="0"/>
          <w:divBdr>
            <w:top w:val="none" w:sz="0" w:space="0" w:color="auto"/>
            <w:left w:val="none" w:sz="0" w:space="0" w:color="auto"/>
            <w:bottom w:val="none" w:sz="0" w:space="0" w:color="auto"/>
            <w:right w:val="none" w:sz="0" w:space="0" w:color="auto"/>
          </w:divBdr>
        </w:div>
        <w:div w:id="813528330">
          <w:marLeft w:val="0"/>
          <w:marRight w:val="0"/>
          <w:marTop w:val="0"/>
          <w:marBottom w:val="0"/>
          <w:divBdr>
            <w:top w:val="none" w:sz="0" w:space="0" w:color="auto"/>
            <w:left w:val="none" w:sz="0" w:space="0" w:color="auto"/>
            <w:bottom w:val="none" w:sz="0" w:space="0" w:color="auto"/>
            <w:right w:val="none" w:sz="0" w:space="0" w:color="auto"/>
          </w:divBdr>
        </w:div>
      </w:divsChild>
    </w:div>
    <w:div w:id="1113523814">
      <w:bodyDiv w:val="1"/>
      <w:marLeft w:val="0"/>
      <w:marRight w:val="0"/>
      <w:marTop w:val="0"/>
      <w:marBottom w:val="0"/>
      <w:divBdr>
        <w:top w:val="none" w:sz="0" w:space="0" w:color="auto"/>
        <w:left w:val="none" w:sz="0" w:space="0" w:color="auto"/>
        <w:bottom w:val="none" w:sz="0" w:space="0" w:color="auto"/>
        <w:right w:val="none" w:sz="0" w:space="0" w:color="auto"/>
      </w:divBdr>
    </w:div>
    <w:div w:id="1258513420">
      <w:bodyDiv w:val="1"/>
      <w:marLeft w:val="0"/>
      <w:marRight w:val="0"/>
      <w:marTop w:val="0"/>
      <w:marBottom w:val="0"/>
      <w:divBdr>
        <w:top w:val="none" w:sz="0" w:space="0" w:color="auto"/>
        <w:left w:val="none" w:sz="0" w:space="0" w:color="auto"/>
        <w:bottom w:val="none" w:sz="0" w:space="0" w:color="auto"/>
        <w:right w:val="none" w:sz="0" w:space="0" w:color="auto"/>
      </w:divBdr>
      <w:divsChild>
        <w:div w:id="1569144536">
          <w:marLeft w:val="0"/>
          <w:marRight w:val="0"/>
          <w:marTop w:val="0"/>
          <w:marBottom w:val="0"/>
          <w:divBdr>
            <w:top w:val="none" w:sz="0" w:space="0" w:color="auto"/>
            <w:left w:val="none" w:sz="0" w:space="0" w:color="auto"/>
            <w:bottom w:val="none" w:sz="0" w:space="0" w:color="auto"/>
            <w:right w:val="none" w:sz="0" w:space="0" w:color="auto"/>
          </w:divBdr>
        </w:div>
        <w:div w:id="1912156265">
          <w:marLeft w:val="0"/>
          <w:marRight w:val="0"/>
          <w:marTop w:val="0"/>
          <w:marBottom w:val="0"/>
          <w:divBdr>
            <w:top w:val="none" w:sz="0" w:space="0" w:color="auto"/>
            <w:left w:val="none" w:sz="0" w:space="0" w:color="auto"/>
            <w:bottom w:val="none" w:sz="0" w:space="0" w:color="auto"/>
            <w:right w:val="none" w:sz="0" w:space="0" w:color="auto"/>
          </w:divBdr>
        </w:div>
      </w:divsChild>
    </w:div>
    <w:div w:id="177513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CPR/C/121/D/2502/2014" TargetMode="External"/><Relationship Id="rId18" Type="http://schemas.openxmlformats.org/officeDocument/2006/relationships/hyperlink" Target="https://en.wikipedia.org/wiki/New_Zealand_Bill_of_Rights_Act_19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alhealth.inquiry.govt.nz/inquiry-report/he-ara-oranga/" TargetMode="External"/><Relationship Id="rId17" Type="http://schemas.openxmlformats.org/officeDocument/2006/relationships/hyperlink" Target="http://www.refworld.org/docid/45388400a.html" TargetMode="External"/><Relationship Id="rId2" Type="http://schemas.openxmlformats.org/officeDocument/2006/relationships/numbering" Target="numbering.xml"/><Relationship Id="rId16" Type="http://schemas.openxmlformats.org/officeDocument/2006/relationships/hyperlink" Target="https://emea01.safelinks.protection.outlook.com/?url=https%3A%2F%2Fwww.ohchr.org%2Fen%2Fprofessionalinterest%2Fpages%2Fccpr.aspx&amp;data=02%7C01%7C%7C66191692f64b472aca6908d63ee01253%7Cb3e5db5e2944483799f57488ace54319%7C0%7C0%7C636765529421482101&amp;sdata=pu5G1ScjBHvWXF7DvpoGoVnHsL1ZbQ%2F5zGaOAzZLlC8%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kland.ac.nz/en/law/our-research/research-institutes-centres/human-rights-centre/e-bulletins/march-2019-e-bulletin/mental-health-inquiry-submission.html" TargetMode="External"/><Relationship Id="rId5" Type="http://schemas.openxmlformats.org/officeDocument/2006/relationships/webSettings" Target="webSettings.xml"/><Relationship Id="rId15" Type="http://schemas.openxmlformats.org/officeDocument/2006/relationships/hyperlink" Target="https://tbinternet.ohchr.org/_layouts/treatybodyexternal/Download.aspx?symbolno=CEDAW%2fC%2fNZL%2fCO%2f8&amp;Lang=en" TargetMode="External"/><Relationship Id="rId10" Type="http://schemas.openxmlformats.org/officeDocument/2006/relationships/hyperlink" Target="http://www.ssc.govt.nz/sites/all/files/Targeted-Consultation-Summary-May-201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liament.nz/.../bills...laws/bills.../52PLLaw25711/employment-relations-amendment." TargetMode="External"/><Relationship Id="rId14" Type="http://schemas.openxmlformats.org/officeDocument/2006/relationships/hyperlink" Target="http://www.scoop.co.nz/stories/PA1807/S00084/nz-delegation-to-present-record-on-womens-rights-to-u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C6E4-417E-4E13-A240-6C7FB1EB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6988</Words>
  <Characters>39833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46728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Bell</dc:creator>
  <cp:keywords/>
  <dc:description/>
  <cp:lastModifiedBy>Bridget Holland</cp:lastModifiedBy>
  <cp:revision>3</cp:revision>
  <cp:lastPrinted>2018-11-19T23:21:00Z</cp:lastPrinted>
  <dcterms:created xsi:type="dcterms:W3CDTF">2019-03-19T00:11:00Z</dcterms:created>
  <dcterms:modified xsi:type="dcterms:W3CDTF">2019-03-31T22:04:00Z</dcterms:modified>
</cp:coreProperties>
</file>