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A31" w:rsidRDefault="0006772F" w:rsidP="00CD1A31">
      <w:r w:rsidRPr="00CD2CFC">
        <w:rPr>
          <w:b/>
          <w:noProof/>
          <w:sz w:val="24"/>
          <w:lang w:val="en-NZ" w:eastAsia="en-NZ"/>
        </w:rPr>
        <w:drawing>
          <wp:anchor distT="0" distB="0" distL="114300" distR="114300" simplePos="0" relativeHeight="251660288" behindDoc="0" locked="0" layoutInCell="1" allowOverlap="1" wp14:anchorId="189593DA" wp14:editId="3D55C778">
            <wp:simplePos x="0" y="0"/>
            <wp:positionH relativeFrom="page">
              <wp:align>center</wp:align>
            </wp:positionH>
            <wp:positionV relativeFrom="paragraph">
              <wp:posOffset>127000</wp:posOffset>
            </wp:positionV>
            <wp:extent cx="7086600" cy="164401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64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D1A31" w:rsidRPr="00FB0706" w:rsidRDefault="00913BC1" w:rsidP="00CD1A31">
      <w:pPr>
        <w:rPr>
          <w:b/>
          <w:sz w:val="24"/>
          <w:lang w:val="en-NZ"/>
        </w:rPr>
      </w:pPr>
      <w:r w:rsidRPr="00CD2CFC">
        <w:rPr>
          <w:b/>
          <w:noProof/>
          <w:sz w:val="24"/>
          <w:lang w:val="en-NZ"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2C33E7" wp14:editId="6FCFF923">
                <wp:simplePos x="0" y="0"/>
                <wp:positionH relativeFrom="column">
                  <wp:posOffset>1364615</wp:posOffset>
                </wp:positionH>
                <wp:positionV relativeFrom="paragraph">
                  <wp:posOffset>283845</wp:posOffset>
                </wp:positionV>
                <wp:extent cx="5314950" cy="1161415"/>
                <wp:effectExtent l="0" t="0" r="0" b="63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0" cy="1161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A0B" w:rsidRDefault="00121A0B" w:rsidP="00913BC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  <w:t xml:space="preserve">Service Division </w:t>
                            </w:r>
                            <w:r w:rsidR="005B2DAF"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  <w:t>Report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  <w:t xml:space="preserve"> 2017 </w:t>
                            </w:r>
                          </w:p>
                          <w:p w:rsidR="00121A0B" w:rsidRPr="001725EF" w:rsidRDefault="00121A0B" w:rsidP="00913BC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6"/>
                              </w:rPr>
                            </w:pPr>
                          </w:p>
                          <w:p w:rsidR="00121A0B" w:rsidRPr="001725EF" w:rsidRDefault="00121A0B" w:rsidP="007B6840">
                            <w:pPr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  <w:tab/>
                            </w: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  <w:tab/>
                              <w:t xml:space="preserve">The Equity Office - Te Ara Tautika </w:t>
                            </w:r>
                          </w:p>
                          <w:p w:rsidR="00121A0B" w:rsidRPr="001725EF" w:rsidRDefault="00121A0B" w:rsidP="00CD1A31">
                            <w:pPr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92C33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7.45pt;margin-top:22.35pt;width:418.5pt;height:91.4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VbgCwIAAPQDAAAOAAAAZHJzL2Uyb0RvYy54bWysU9tuGyEQfa/Uf0C81+vdetN4ZRylSVNV&#10;Si9S0g/ALOtFBYYC9q779R1Yx7Gat6g8IGBmzsw5M6yuRqPJXvqgwDJazuaUSCugVXbL6M/Hu3eX&#10;lITIbcs1WMnoQQZ6tX77ZjW4RlbQg26lJwhiQzM4RvsYXVMUQfTS8DADJy0aO/CGR7z6bdF6PiC6&#10;0UU1n18UA/jWeRAyBHy9nYx0nfG7Tor4veuCjEQzirXFvPu8b9JerFe82XrueiWOZfBXVGG4spj0&#10;BHXLIyc7r15AGSU8BOjiTIApoOuUkJkDsinn/7B56LmTmQuKE9xJpvD/YMW3/Q9PVMtoVVJiucEe&#10;Pcoxko8wkirJM7jQoNeDQ7844jO2OVMN7h7Er0As3PTcbuW19zD0krdYXpkii7PQCSckkM3wFVpM&#10;w3cRMtDYeZO0QzUIomObDqfWpFIEPtbvy8WyRpNAW1lelIuyzjl48xTufIifJRiSDox67H2G5/v7&#10;EFM5vHlySdks3Cmtc/+1JQOjy7qqc8CZxaiI46mVYfRyntY0MInlJ9vm4MiVns6YQNsj7cR04hzH&#10;zYiOSYsNtAcUwMM0hvht8NCD/0PJgCPIaPi9415Sor9YFHFZLhZpZvNlUX+o8OLPLZtzC7cCoRiN&#10;lEzHm5jnfOJ6jWJ3KsvwXMmxVhytrM7xG6TZPb9nr+fPuv4LAAD//wMAUEsDBBQABgAIAAAAIQBy&#10;cj6u3wAAAAsBAAAPAAAAZHJzL2Rvd25yZXYueG1sTI9NT8MwDIbvk/gPkZF225JW3cZK0wmBdgUx&#10;PiRuWeO1FY1TNdla/j3eCY72++j142I3uU5ccAitJw3JUoFAqrxtqdbw/rZf3IEI0ZA1nSfU8IMB&#10;duXNrDC59SO94uUQa8ElFHKjoYmxz6UMVYPOhKXvkTg7+cGZyONQSzuYkctdJ1Ol1tKZlvhCY3p8&#10;bLD6Ppydho/n09dnpl7qJ7fqRz8pSW4rtZ7fTg/3ICJO8Q+Gqz6rQ8lOR38mG0SnIU2yLaMasmwD&#10;4gqoVcKbI0fpZg2yLOT/H8pfAAAA//8DAFBLAQItABQABgAIAAAAIQC2gziS/gAAAOEBAAATAAAA&#10;AAAAAAAAAAAAAAAAAABbQ29udGVudF9UeXBlc10ueG1sUEsBAi0AFAAGAAgAAAAhADj9If/WAAAA&#10;lAEAAAsAAAAAAAAAAAAAAAAALwEAAF9yZWxzLy5yZWxzUEsBAi0AFAAGAAgAAAAhANwJVuALAgAA&#10;9AMAAA4AAAAAAAAAAAAAAAAALgIAAGRycy9lMm9Eb2MueG1sUEsBAi0AFAAGAAgAAAAhAHJyPq7f&#10;AAAACwEAAA8AAAAAAAAAAAAAAAAAZQQAAGRycy9kb3ducmV2LnhtbFBLBQYAAAAABAAEAPMAAABx&#10;BQAAAAA=&#10;" filled="f" stroked="f">
                <v:textbox>
                  <w:txbxContent>
                    <w:p w:rsidR="00121A0B" w:rsidRDefault="00121A0B" w:rsidP="00913BC1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4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0"/>
                        </w:rPr>
                        <w:t xml:space="preserve">Service Division </w:t>
                      </w:r>
                      <w:r w:rsidR="005B2DAF">
                        <w:rPr>
                          <w:b/>
                          <w:color w:val="FFFFFF" w:themeColor="background1"/>
                          <w:sz w:val="40"/>
                        </w:rPr>
                        <w:t>Report</w:t>
                      </w:r>
                      <w:r>
                        <w:rPr>
                          <w:b/>
                          <w:color w:val="FFFFFF" w:themeColor="background1"/>
                          <w:sz w:val="40"/>
                        </w:rPr>
                        <w:t xml:space="preserve"> 2017 </w:t>
                      </w:r>
                    </w:p>
                    <w:p w:rsidR="00121A0B" w:rsidRPr="001725EF" w:rsidRDefault="00121A0B" w:rsidP="00913BC1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6"/>
                        </w:rPr>
                      </w:pPr>
                    </w:p>
                    <w:p w:rsidR="00121A0B" w:rsidRPr="001725EF" w:rsidRDefault="00121A0B" w:rsidP="007B6840">
                      <w:pPr>
                        <w:spacing w:after="0" w:line="240" w:lineRule="auto"/>
                        <w:rPr>
                          <w:b/>
                          <w:color w:val="FFFFFF" w:themeColor="background1"/>
                          <w:sz w:val="4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0"/>
                        </w:rPr>
                        <w:t xml:space="preserve">  </w:t>
                      </w:r>
                      <w:r>
                        <w:rPr>
                          <w:b/>
                          <w:color w:val="FFFFFF" w:themeColor="background1"/>
                          <w:sz w:val="40"/>
                        </w:rPr>
                        <w:tab/>
                      </w:r>
                      <w:r>
                        <w:rPr>
                          <w:b/>
                          <w:color w:val="FFFFFF" w:themeColor="background1"/>
                          <w:sz w:val="40"/>
                        </w:rPr>
                        <w:tab/>
                        <w:t xml:space="preserve">The Equity Office - Te Ara Tautika </w:t>
                      </w:r>
                    </w:p>
                    <w:p w:rsidR="00121A0B" w:rsidRPr="001725EF" w:rsidRDefault="00121A0B" w:rsidP="00CD1A31">
                      <w:pPr>
                        <w:rPr>
                          <w:b/>
                          <w:color w:val="FFFFFF" w:themeColor="background1"/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1A31" w:rsidRPr="00CD2CFC" w:rsidRDefault="00CD1A31" w:rsidP="00CD1A31">
      <w:pPr>
        <w:rPr>
          <w:b/>
          <w:sz w:val="24"/>
        </w:rPr>
      </w:pPr>
    </w:p>
    <w:p w:rsidR="00CD1A31" w:rsidRPr="00FB0706" w:rsidRDefault="00CD1A31" w:rsidP="00CD1A31">
      <w:pPr>
        <w:rPr>
          <w:b/>
          <w:sz w:val="24"/>
          <w:lang w:val="en-NZ"/>
        </w:rPr>
      </w:pPr>
    </w:p>
    <w:p w:rsidR="00CD1A31" w:rsidRPr="00FB0706" w:rsidRDefault="00CD1A31" w:rsidP="00CD1A31">
      <w:pPr>
        <w:rPr>
          <w:b/>
          <w:sz w:val="24"/>
          <w:lang w:val="en-NZ"/>
        </w:rPr>
      </w:pPr>
    </w:p>
    <w:p w:rsidR="00CD1A31" w:rsidRPr="00FB0706" w:rsidRDefault="00CD1A31" w:rsidP="00CD1A31">
      <w:pPr>
        <w:jc w:val="center"/>
        <w:rPr>
          <w:b/>
          <w:sz w:val="24"/>
          <w:lang w:val="en-NZ"/>
        </w:rPr>
      </w:pPr>
    </w:p>
    <w:p w:rsidR="00CD1A31" w:rsidRPr="00FB0706" w:rsidRDefault="00CD1A31" w:rsidP="00CD1A31">
      <w:pPr>
        <w:rPr>
          <w:b/>
          <w:sz w:val="24"/>
          <w:lang w:val="en-NZ"/>
        </w:rPr>
      </w:pPr>
    </w:p>
    <w:p w:rsidR="00CD1A31" w:rsidRDefault="00CD1A31" w:rsidP="00CD1A31">
      <w:pPr>
        <w:rPr>
          <w:b/>
          <w:sz w:val="24"/>
          <w:lang w:val="en-NZ"/>
        </w:rPr>
      </w:pPr>
    </w:p>
    <w:p w:rsidR="00CD1A31" w:rsidRDefault="00CD1A31" w:rsidP="00CD1A31">
      <w:pPr>
        <w:rPr>
          <w:b/>
          <w:sz w:val="24"/>
          <w:lang w:val="en-NZ"/>
        </w:rPr>
      </w:pPr>
    </w:p>
    <w:p w:rsidR="00CD1A31" w:rsidRDefault="00CD1A31" w:rsidP="00CD1A31">
      <w:pPr>
        <w:rPr>
          <w:b/>
          <w:sz w:val="24"/>
          <w:lang w:val="en-NZ"/>
        </w:rPr>
      </w:pPr>
    </w:p>
    <w:p w:rsidR="00CD1A31" w:rsidRDefault="00CD1A31" w:rsidP="00CD1A31">
      <w:pPr>
        <w:rPr>
          <w:b/>
          <w:sz w:val="24"/>
          <w:lang w:val="en-NZ"/>
        </w:rPr>
      </w:pPr>
    </w:p>
    <w:p w:rsidR="00CD1A31" w:rsidRDefault="00CD1A31" w:rsidP="00CD1A31">
      <w:pPr>
        <w:rPr>
          <w:b/>
          <w:sz w:val="24"/>
          <w:lang w:val="en-NZ"/>
        </w:rPr>
      </w:pPr>
    </w:p>
    <w:p w:rsidR="00CD1A31" w:rsidRDefault="00CD1A31" w:rsidP="00CD1A31">
      <w:pPr>
        <w:rPr>
          <w:b/>
          <w:sz w:val="24"/>
          <w:lang w:val="en-NZ"/>
        </w:rPr>
      </w:pPr>
    </w:p>
    <w:p w:rsidR="00CD1A31" w:rsidRDefault="00CD1A31" w:rsidP="00CD1A31">
      <w:pPr>
        <w:rPr>
          <w:b/>
          <w:sz w:val="24"/>
          <w:lang w:val="en-NZ"/>
        </w:rPr>
      </w:pPr>
    </w:p>
    <w:p w:rsidR="00CD1A31" w:rsidRDefault="00CD1A31" w:rsidP="00CD1A31">
      <w:pPr>
        <w:rPr>
          <w:b/>
          <w:sz w:val="24"/>
          <w:lang w:val="en-NZ"/>
        </w:rPr>
      </w:pPr>
    </w:p>
    <w:p w:rsidR="00CD1A31" w:rsidRPr="00FB0706" w:rsidRDefault="00CD1A31" w:rsidP="00CD1A31">
      <w:pPr>
        <w:rPr>
          <w:b/>
          <w:sz w:val="24"/>
          <w:lang w:val="en-NZ"/>
        </w:rPr>
      </w:pPr>
    </w:p>
    <w:p w:rsidR="00CD1A31" w:rsidRPr="00FB0706" w:rsidRDefault="00CD1A31" w:rsidP="00CD1A31">
      <w:pPr>
        <w:rPr>
          <w:b/>
          <w:sz w:val="24"/>
          <w:lang w:val="en-NZ"/>
        </w:rPr>
      </w:pPr>
    </w:p>
    <w:p w:rsidR="00CD1A31" w:rsidRPr="00FB0706" w:rsidRDefault="00CD1A31" w:rsidP="00CD1A31">
      <w:pPr>
        <w:rPr>
          <w:b/>
          <w:sz w:val="24"/>
          <w:lang w:val="en-NZ"/>
        </w:rPr>
      </w:pPr>
    </w:p>
    <w:p w:rsidR="00CD1A31" w:rsidRPr="00FB0706" w:rsidRDefault="00CD1A31" w:rsidP="00CD1A31">
      <w:pPr>
        <w:rPr>
          <w:b/>
          <w:sz w:val="24"/>
          <w:lang w:val="en-NZ"/>
        </w:rPr>
      </w:pPr>
    </w:p>
    <w:p w:rsidR="00CD1A31" w:rsidRPr="00FB0706" w:rsidRDefault="00CD1A31" w:rsidP="00CD1A31">
      <w:pPr>
        <w:rPr>
          <w:b/>
          <w:sz w:val="24"/>
          <w:lang w:val="en-NZ"/>
        </w:rPr>
      </w:pPr>
    </w:p>
    <w:p w:rsidR="00CD1A31" w:rsidRDefault="00CD1A31" w:rsidP="00CD1A31"/>
    <w:p w:rsidR="00CD1A31" w:rsidRDefault="00CD1A31" w:rsidP="00CD1A31"/>
    <w:p w:rsidR="00CD1A31" w:rsidRDefault="00CD1A31" w:rsidP="00CD1A31"/>
    <w:p w:rsidR="00CD1A31" w:rsidRDefault="00CD1A31" w:rsidP="00CD1A31"/>
    <w:p w:rsidR="00CD1A31" w:rsidRPr="00FB0706" w:rsidRDefault="00CD1A31" w:rsidP="00A84B66">
      <w:pPr>
        <w:pageBreakBefore/>
        <w:spacing w:after="0"/>
        <w:ind w:left="567" w:hanging="567"/>
        <w:rPr>
          <w:rFonts w:ascii="Verdana" w:hAnsi="Verdana"/>
          <w:b/>
          <w:color w:val="264468"/>
          <w:sz w:val="28"/>
          <w:szCs w:val="32"/>
          <w:lang w:val="en-NZ"/>
        </w:rPr>
      </w:pPr>
      <w:r w:rsidRPr="00FB0706">
        <w:rPr>
          <w:rFonts w:ascii="Times New Roman" w:hAnsi="Times New Roman"/>
          <w:noProof/>
          <w:color w:val="244061" w:themeColor="accent1" w:themeShade="80"/>
          <w:szCs w:val="24"/>
          <w:lang w:val="en-NZ" w:eastAsia="en-NZ"/>
        </w:rPr>
        <w:lastRenderedPageBreak/>
        <mc:AlternateContent>
          <mc:Choice Requires="wps">
            <w:drawing>
              <wp:anchor distT="36576" distB="36576" distL="36575" distR="36575" simplePos="0" relativeHeight="251659264" behindDoc="0" locked="0" layoutInCell="1" allowOverlap="1" wp14:anchorId="1ED2260E" wp14:editId="7F0AAA4B">
                <wp:simplePos x="0" y="0"/>
                <wp:positionH relativeFrom="column">
                  <wp:posOffset>6352539</wp:posOffset>
                </wp:positionH>
                <wp:positionV relativeFrom="paragraph">
                  <wp:posOffset>-1170305</wp:posOffset>
                </wp:positionV>
                <wp:extent cx="0" cy="1976755"/>
                <wp:effectExtent l="0" t="0" r="0" b="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76755"/>
                        </a:xfrm>
                        <a:prstGeom prst="line">
                          <a:avLst/>
                        </a:prstGeom>
                        <a:noFill/>
                        <a:ln w="25400">
                          <a:noFill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A046F4" id="Straight Connector 8" o:spid="_x0000_s1026" style="position:absolute;z-index:251659264;visibility:visible;mso-wrap-style:square;mso-width-percent:0;mso-height-percent:0;mso-wrap-distance-left:1.016mm;mso-wrap-distance-top:2.88pt;mso-wrap-distance-right:1.016mm;mso-wrap-distance-bottom:2.88pt;mso-position-horizontal:absolute;mso-position-horizontal-relative:text;mso-position-vertical:absolute;mso-position-vertical-relative:text;mso-width-percent:0;mso-height-percent:0;mso-width-relative:page;mso-height-relative:page" from="500.2pt,-92.15pt" to="500.2pt,6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FK0hgIAAEcFAAAOAAAAZHJzL2Uyb0RvYy54bWysVF1vmzAUfZ+0/2D5nQIJhASVVC2QvXRb&#10;pXTas2MMWAMb2U5INO2/79pJWNu9TFP9YPn64/jcc499e3fsO3RgSnMpMhzeBBgxQWXFRZPhb88b&#10;b4mRNkRUpJOCZfjENL5bf/xwOw4pm8lWdhVTCECETschw60xQ+r7mrasJ/pGDkzAYi1VTwyEqvEr&#10;RUZA7zt/FgQLf5SqGpSkTGuYLc6LeO3w65pR87WuNTOoyzBwM65Xrt/Z3l/fkrRRZGg5vdAg/8Gi&#10;J1zApRNUQQxBe8X/guo5VVLL2txQ2fuyrjllLgfIJgzeZLNtycBcLiCOHiaZ9PvB0i+HJ4V4lWEo&#10;lCA9lGhrFOFNa1AuhQABpUJLq9M46BS25+JJ2UzpUWyHR0l/aCRk3hLRMMf3+TQASGhP+K+O2EAP&#10;cNtu/Cwr2EP2RjrRjrXqLSTIgY6uNqepNuxoED1PUpgNV8kiiWOHTtLrwUFp84nJHtlBhjsurGwk&#10;JYdHbSwRkl632GkhN7zrXOk7gcYMz+IoCNyJF0tK7kXlNrWMVOVlbAjvzmMA7YSFY85n55sgOhoY&#10;unmg7jzwcxWsymW5jLxotii9KCgK736TR95iEyZxMS/yvAh/2fvDKG15VTFhCV79GEb/Vu/Lyzg7&#10;aXLklJH/Gt2pAmRfM73fxEESzZdeksRzL5qXgfew3OTefR4uFkn5kD+Ub5iWLnv9PmQnKS0ruTdM&#10;bdtqRBW3ZZ3Hq1mIIYD3O0sC2zAiXQMfDzUKIyXNd25a50LrH4uhVbPLO4UOBD6A3LWLdyb0sxDX&#10;GtpoqsIltz9SQc2v9XXmtn4+v4ydrE5P6mp6eK3u0OVnsd/ByxjGL/+/9W8AAAD//wMAUEsDBBQA&#10;BgAIAAAAIQACAS9u3gAAAA4BAAAPAAAAZHJzL2Rvd25yZXYueG1sTI/BTsMwEETvSPyDtUjcWjul&#10;KlWIUyEg4ojS8gHb2CRR7XUUu2n4e7biALed3dHsm2I3eycmO8Y+kIZsqUBYaoLpqdXweagWWxAx&#10;IRl0gayGbxthV97eFJibcKHaTvvUCg6hmKOGLqUhlzI2nfUYl2GwxLevMHpMLMdWmhEvHO6dXCm1&#10;kR574g8dDvals81pf/YaZO3GE7599Jms5mZTV++vkyOt7+/m5ycQyc7pzwxXfEaHkpmO4UwmCsda&#10;KbVmr4ZFtl0/gLh6fndHnlaPCmRZyP81yh8AAAD//wMAUEsBAi0AFAAGAAgAAAAhALaDOJL+AAAA&#10;4QEAABMAAAAAAAAAAAAAAAAAAAAAAFtDb250ZW50X1R5cGVzXS54bWxQSwECLQAUAAYACAAAACEA&#10;OP0h/9YAAACUAQAACwAAAAAAAAAAAAAAAAAvAQAAX3JlbHMvLnJlbHNQSwECLQAUAAYACAAAACEA&#10;dDxStIYCAABHBQAADgAAAAAAAAAAAAAAAAAuAgAAZHJzL2Uyb0RvYy54bWxQSwECLQAUAAYACAAA&#10;ACEAAgEvbt4AAAAOAQAADwAAAAAAAAAAAAAAAADgBAAAZHJzL2Rvd25yZXYueG1sUEsFBgAAAAAE&#10;AAQA8wAAAOsFAAAAAA==&#10;" stroked="f" strokeweight="2pt">
                <v:shadow color="#ccc"/>
              </v:line>
            </w:pict>
          </mc:Fallback>
        </mc:AlternateContent>
      </w:r>
      <w:r w:rsidRPr="00FB0706">
        <w:rPr>
          <w:rFonts w:ascii="Verdana" w:hAnsi="Verdana"/>
          <w:b/>
          <w:color w:val="365F91" w:themeColor="accent1" w:themeShade="BF"/>
          <w:sz w:val="28"/>
          <w:szCs w:val="32"/>
          <w:lang w:val="en-NZ"/>
        </w:rPr>
        <w:t>Section 1a: Overview</w:t>
      </w:r>
      <w:r w:rsidRPr="00FB0706">
        <w:rPr>
          <w:rFonts w:ascii="Verdana" w:hAnsi="Verdana"/>
          <w:b/>
          <w:color w:val="264468"/>
          <w:sz w:val="28"/>
          <w:szCs w:val="32"/>
          <w:lang w:val="en-NZ"/>
        </w:rPr>
        <w:t xml:space="preserve"> </w:t>
      </w:r>
    </w:p>
    <w:p w:rsidR="00913BC1" w:rsidRPr="00913BC1" w:rsidRDefault="00913BC1" w:rsidP="00913BC1">
      <w:pPr>
        <w:rPr>
          <w:rFonts w:ascii="Verdana" w:eastAsiaTheme="minorEastAsia" w:hAnsi="Verdana"/>
          <w:b/>
          <w:color w:val="365F91" w:themeColor="accent1" w:themeShade="BF"/>
          <w:lang w:val="en-NZ" w:eastAsia="zh-TW"/>
        </w:rPr>
      </w:pPr>
      <w:r w:rsidRPr="00913BC1">
        <w:rPr>
          <w:rFonts w:ascii="Verdana" w:eastAsiaTheme="minorEastAsia" w:hAnsi="Verdana"/>
          <w:b/>
          <w:color w:val="365F91" w:themeColor="accent1" w:themeShade="BF"/>
          <w:lang w:val="en-NZ" w:eastAsia="zh-TW"/>
        </w:rPr>
        <w:t>Achieving key objectives</w:t>
      </w:r>
    </w:p>
    <w:p w:rsidR="00913BC1" w:rsidRDefault="00913BC1" w:rsidP="00A84B66">
      <w:pPr>
        <w:spacing w:after="0"/>
        <w:rPr>
          <w:rFonts w:ascii="Verdana" w:eastAsiaTheme="minorEastAsia" w:hAnsi="Verdana"/>
          <w:i/>
          <w:color w:val="365F91" w:themeColor="accent1" w:themeShade="BF"/>
          <w:lang w:val="en-NZ" w:eastAsia="zh-TW"/>
        </w:rPr>
      </w:pPr>
      <w:r w:rsidRPr="00913BC1">
        <w:rPr>
          <w:rFonts w:ascii="Verdana" w:eastAsiaTheme="minorEastAsia" w:hAnsi="Verdana"/>
          <w:i/>
          <w:color w:val="365F91" w:themeColor="accent1" w:themeShade="BF"/>
          <w:lang w:val="en-NZ" w:eastAsia="zh-TW"/>
        </w:rPr>
        <w:t>Key objective 1:</w:t>
      </w:r>
    </w:p>
    <w:p w:rsidR="007B6840" w:rsidRPr="007B6840" w:rsidRDefault="007B6840" w:rsidP="00913BC1">
      <w:pPr>
        <w:rPr>
          <w:rFonts w:ascii="Verdana" w:eastAsiaTheme="minorEastAsia" w:hAnsi="Verdana"/>
          <w:b/>
          <w:color w:val="365F91" w:themeColor="accent1" w:themeShade="BF"/>
          <w:lang w:val="en-NZ" w:eastAsia="zh-TW"/>
        </w:rPr>
      </w:pPr>
      <w:r w:rsidRPr="007B6840">
        <w:rPr>
          <w:rFonts w:ascii="Verdana" w:eastAsiaTheme="minorEastAsia" w:hAnsi="Verdana"/>
          <w:b/>
          <w:color w:val="365F91" w:themeColor="accent1" w:themeShade="BF"/>
          <w:lang w:val="en-NZ" w:eastAsia="zh-TW"/>
        </w:rPr>
        <w:t>Enhance training, information and communications</w:t>
      </w:r>
      <w:r w:rsidR="00E07325">
        <w:rPr>
          <w:rFonts w:ascii="Verdana" w:eastAsiaTheme="minorEastAsia" w:hAnsi="Verdana"/>
          <w:b/>
          <w:color w:val="365F91" w:themeColor="accent1" w:themeShade="BF"/>
          <w:lang w:val="en-NZ" w:eastAsia="zh-TW"/>
        </w:rPr>
        <w:t>,</w:t>
      </w:r>
      <w:r w:rsidRPr="007B6840">
        <w:rPr>
          <w:rFonts w:ascii="Verdana" w:eastAsiaTheme="minorEastAsia" w:hAnsi="Verdana"/>
          <w:b/>
          <w:color w:val="365F91" w:themeColor="accent1" w:themeShade="BF"/>
          <w:lang w:val="en-NZ" w:eastAsia="zh-TW"/>
        </w:rPr>
        <w:t xml:space="preserve"> including through digital platforms</w:t>
      </w:r>
      <w:r w:rsidR="00E07325">
        <w:rPr>
          <w:rFonts w:ascii="Verdana" w:eastAsiaTheme="minorEastAsia" w:hAnsi="Verdana"/>
          <w:b/>
          <w:color w:val="365F91" w:themeColor="accent1" w:themeShade="BF"/>
          <w:lang w:val="en-NZ" w:eastAsia="zh-TW"/>
        </w:rPr>
        <w:t>,</w:t>
      </w:r>
      <w:r w:rsidRPr="007B6840">
        <w:rPr>
          <w:rFonts w:ascii="Verdana" w:eastAsiaTheme="minorEastAsia" w:hAnsi="Verdana"/>
          <w:b/>
          <w:color w:val="365F91" w:themeColor="accent1" w:themeShade="BF"/>
          <w:lang w:val="en-NZ" w:eastAsia="zh-TW"/>
        </w:rPr>
        <w:t xml:space="preserve"> to contribute to a </w:t>
      </w:r>
      <w:r w:rsidR="00D607E5">
        <w:rPr>
          <w:rFonts w:ascii="Verdana" w:eastAsiaTheme="minorEastAsia" w:hAnsi="Verdana"/>
          <w:b/>
          <w:color w:val="365F91" w:themeColor="accent1" w:themeShade="BF"/>
          <w:lang w:val="en-NZ" w:eastAsia="zh-TW"/>
        </w:rPr>
        <w:t>s</w:t>
      </w:r>
      <w:r w:rsidRPr="007B6840">
        <w:rPr>
          <w:rFonts w:ascii="Verdana" w:eastAsiaTheme="minorEastAsia" w:hAnsi="Verdana"/>
          <w:b/>
          <w:color w:val="365F91" w:themeColor="accent1" w:themeShade="BF"/>
          <w:lang w:val="en-NZ" w:eastAsia="zh-TW"/>
        </w:rPr>
        <w:t xml:space="preserve">afe, </w:t>
      </w:r>
      <w:r w:rsidR="00D607E5">
        <w:rPr>
          <w:rFonts w:ascii="Verdana" w:eastAsiaTheme="minorEastAsia" w:hAnsi="Verdana"/>
          <w:b/>
          <w:color w:val="365F91" w:themeColor="accent1" w:themeShade="BF"/>
          <w:lang w:val="en-NZ" w:eastAsia="zh-TW"/>
        </w:rPr>
        <w:t>i</w:t>
      </w:r>
      <w:r w:rsidRPr="007B6840">
        <w:rPr>
          <w:rFonts w:ascii="Verdana" w:eastAsiaTheme="minorEastAsia" w:hAnsi="Verdana"/>
          <w:b/>
          <w:color w:val="365F91" w:themeColor="accent1" w:themeShade="BF"/>
          <w:lang w:val="en-NZ" w:eastAsia="zh-TW"/>
        </w:rPr>
        <w:t xml:space="preserve">nclusive and </w:t>
      </w:r>
      <w:r w:rsidR="00D607E5">
        <w:rPr>
          <w:rFonts w:ascii="Verdana" w:eastAsiaTheme="minorEastAsia" w:hAnsi="Verdana"/>
          <w:b/>
          <w:color w:val="365F91" w:themeColor="accent1" w:themeShade="BF"/>
          <w:lang w:val="en-NZ" w:eastAsia="zh-TW"/>
        </w:rPr>
        <w:t>e</w:t>
      </w:r>
      <w:r w:rsidRPr="007B6840">
        <w:rPr>
          <w:rFonts w:ascii="Verdana" w:eastAsiaTheme="minorEastAsia" w:hAnsi="Verdana"/>
          <w:b/>
          <w:color w:val="365F91" w:themeColor="accent1" w:themeShade="BF"/>
          <w:lang w:val="en-NZ" w:eastAsia="zh-TW"/>
        </w:rPr>
        <w:t xml:space="preserve">quitable </w:t>
      </w:r>
      <w:r w:rsidR="000A41E9">
        <w:rPr>
          <w:rFonts w:ascii="Verdana" w:eastAsiaTheme="minorEastAsia" w:hAnsi="Verdana"/>
          <w:b/>
          <w:color w:val="365F91" w:themeColor="accent1" w:themeShade="BF"/>
          <w:lang w:val="en-NZ" w:eastAsia="zh-TW"/>
        </w:rPr>
        <w:t>university</w:t>
      </w:r>
      <w:r w:rsidRPr="007B6840">
        <w:rPr>
          <w:rFonts w:ascii="Verdana" w:eastAsiaTheme="minorEastAsia" w:hAnsi="Verdana"/>
          <w:b/>
          <w:color w:val="365F91" w:themeColor="accent1" w:themeShade="BF"/>
          <w:lang w:val="en-NZ" w:eastAsia="zh-TW"/>
        </w:rPr>
        <w:t xml:space="preserve"> environment</w:t>
      </w:r>
    </w:p>
    <w:p w:rsidR="00913BC1" w:rsidRPr="002205C6" w:rsidRDefault="00D607E5" w:rsidP="006004D7">
      <w:pPr>
        <w:spacing w:after="0" w:line="240" w:lineRule="auto"/>
        <w:rPr>
          <w:rFonts w:ascii="Verdana" w:eastAsiaTheme="minorEastAsia" w:hAnsi="Verdana"/>
          <w:color w:val="365F91" w:themeColor="accent1" w:themeShade="BF"/>
          <w:lang w:val="en-NZ" w:eastAsia="zh-TW"/>
        </w:rPr>
      </w:pPr>
      <w:r w:rsidRPr="002205C6">
        <w:rPr>
          <w:rFonts w:ascii="Verdana" w:eastAsiaTheme="minorEastAsia" w:hAnsi="Verdana"/>
          <w:color w:val="365F91" w:themeColor="accent1" w:themeShade="BF"/>
          <w:lang w:val="en-NZ" w:eastAsia="zh-TW"/>
        </w:rPr>
        <w:t>Achievements:</w:t>
      </w:r>
    </w:p>
    <w:p w:rsidR="0037264D" w:rsidRPr="002205C6" w:rsidRDefault="00403106" w:rsidP="005F7CC4">
      <w:pPr>
        <w:pStyle w:val="ListParagraph"/>
        <w:numPr>
          <w:ilvl w:val="0"/>
          <w:numId w:val="3"/>
        </w:numPr>
        <w:spacing w:after="120" w:line="240" w:lineRule="auto"/>
        <w:ind w:left="284" w:hanging="284"/>
        <w:contextualSpacing w:val="0"/>
        <w:rPr>
          <w:rFonts w:ascii="Verdana" w:hAnsi="Verdana"/>
          <w:sz w:val="20"/>
          <w:szCs w:val="20"/>
          <w:lang w:eastAsia="zh-TW"/>
        </w:rPr>
      </w:pPr>
      <w:r w:rsidRPr="002205C6">
        <w:rPr>
          <w:rFonts w:ascii="Verdana" w:hAnsi="Verdana"/>
          <w:sz w:val="20"/>
          <w:szCs w:val="20"/>
          <w:lang w:eastAsia="zh-TW"/>
        </w:rPr>
        <w:t>The Equity Office increased</w:t>
      </w:r>
      <w:r w:rsidR="007A5D41" w:rsidRPr="002205C6">
        <w:rPr>
          <w:rFonts w:ascii="Verdana" w:hAnsi="Verdana"/>
          <w:sz w:val="20"/>
          <w:szCs w:val="20"/>
          <w:lang w:eastAsia="zh-TW"/>
        </w:rPr>
        <w:t xml:space="preserve"> student and staff</w:t>
      </w:r>
      <w:r w:rsidRPr="002205C6">
        <w:rPr>
          <w:rFonts w:ascii="Verdana" w:hAnsi="Verdana"/>
          <w:sz w:val="20"/>
          <w:szCs w:val="20"/>
          <w:lang w:eastAsia="zh-TW"/>
        </w:rPr>
        <w:t xml:space="preserve"> awareness of equity </w:t>
      </w:r>
      <w:r w:rsidR="0037264D" w:rsidRPr="002205C6">
        <w:rPr>
          <w:rFonts w:ascii="Verdana" w:hAnsi="Verdana"/>
          <w:sz w:val="20"/>
          <w:szCs w:val="20"/>
          <w:lang w:eastAsia="zh-TW"/>
        </w:rPr>
        <w:t>resource</w:t>
      </w:r>
      <w:r w:rsidR="007A5D41" w:rsidRPr="002205C6">
        <w:rPr>
          <w:rFonts w:ascii="Verdana" w:hAnsi="Verdana"/>
          <w:sz w:val="20"/>
          <w:szCs w:val="20"/>
          <w:lang w:eastAsia="zh-TW"/>
        </w:rPr>
        <w:t>s</w:t>
      </w:r>
      <w:r w:rsidR="0037264D" w:rsidRPr="002205C6">
        <w:rPr>
          <w:rFonts w:ascii="Verdana" w:hAnsi="Verdana"/>
          <w:sz w:val="20"/>
          <w:szCs w:val="20"/>
          <w:lang w:eastAsia="zh-TW"/>
        </w:rPr>
        <w:t xml:space="preserve"> and </w:t>
      </w:r>
      <w:r w:rsidR="007A5D41" w:rsidRPr="002205C6">
        <w:rPr>
          <w:rFonts w:ascii="Verdana" w:hAnsi="Verdana"/>
          <w:sz w:val="20"/>
          <w:szCs w:val="20"/>
          <w:lang w:eastAsia="zh-TW"/>
        </w:rPr>
        <w:t xml:space="preserve">support </w:t>
      </w:r>
      <w:r w:rsidRPr="002205C6">
        <w:rPr>
          <w:rFonts w:ascii="Verdana" w:hAnsi="Verdana"/>
          <w:sz w:val="20"/>
          <w:szCs w:val="20"/>
          <w:lang w:eastAsia="zh-TW"/>
        </w:rPr>
        <w:t>by expan</w:t>
      </w:r>
      <w:r w:rsidR="0037264D" w:rsidRPr="002205C6">
        <w:rPr>
          <w:rFonts w:ascii="Verdana" w:hAnsi="Verdana"/>
          <w:sz w:val="20"/>
          <w:szCs w:val="20"/>
          <w:lang w:eastAsia="zh-TW"/>
        </w:rPr>
        <w:t>ding its communications</w:t>
      </w:r>
      <w:r w:rsidRPr="002205C6">
        <w:rPr>
          <w:rFonts w:ascii="Verdana" w:hAnsi="Verdana"/>
          <w:sz w:val="20"/>
          <w:szCs w:val="20"/>
          <w:lang w:eastAsia="zh-TW"/>
        </w:rPr>
        <w:t xml:space="preserve"> in response to feedback. </w:t>
      </w:r>
    </w:p>
    <w:p w:rsidR="00D607E5" w:rsidRPr="002205C6" w:rsidRDefault="00D607E5" w:rsidP="00487075">
      <w:pPr>
        <w:spacing w:before="240" w:after="0" w:line="240" w:lineRule="auto"/>
        <w:rPr>
          <w:rFonts w:ascii="Verdana" w:hAnsi="Verdana"/>
          <w:sz w:val="20"/>
          <w:szCs w:val="20"/>
          <w:lang w:eastAsia="zh-TW"/>
        </w:rPr>
      </w:pPr>
      <w:r w:rsidRPr="002205C6">
        <w:rPr>
          <w:rFonts w:ascii="Verdana" w:hAnsi="Verdana"/>
          <w:color w:val="365F91" w:themeColor="accent1" w:themeShade="BF"/>
          <w:lang w:eastAsia="zh-TW"/>
        </w:rPr>
        <w:t>Challenges:</w:t>
      </w:r>
    </w:p>
    <w:p w:rsidR="007B6840" w:rsidRPr="002205C6" w:rsidRDefault="001E7090" w:rsidP="005F7CC4">
      <w:pPr>
        <w:pStyle w:val="ListParagraph"/>
        <w:numPr>
          <w:ilvl w:val="0"/>
          <w:numId w:val="3"/>
        </w:numPr>
        <w:spacing w:after="120" w:line="240" w:lineRule="auto"/>
        <w:ind w:left="284" w:hanging="284"/>
        <w:contextualSpacing w:val="0"/>
        <w:rPr>
          <w:rFonts w:ascii="Verdana" w:hAnsi="Verdana"/>
          <w:sz w:val="20"/>
          <w:szCs w:val="20"/>
          <w:lang w:eastAsia="zh-TW"/>
        </w:rPr>
      </w:pPr>
      <w:r w:rsidRPr="002205C6">
        <w:rPr>
          <w:rFonts w:ascii="Verdana" w:hAnsi="Verdana"/>
          <w:sz w:val="20"/>
          <w:szCs w:val="20"/>
          <w:lang w:eastAsia="zh-TW"/>
        </w:rPr>
        <w:t>E</w:t>
      </w:r>
      <w:r w:rsidR="007B6840" w:rsidRPr="002205C6">
        <w:rPr>
          <w:rFonts w:ascii="Verdana" w:hAnsi="Verdana"/>
          <w:sz w:val="20"/>
          <w:szCs w:val="20"/>
          <w:lang w:eastAsia="zh-TW"/>
        </w:rPr>
        <w:t xml:space="preserve">nhancing awareness of </w:t>
      </w:r>
      <w:r w:rsidR="009C26BC" w:rsidRPr="002205C6">
        <w:rPr>
          <w:rFonts w:ascii="Verdana" w:hAnsi="Verdana"/>
          <w:sz w:val="20"/>
          <w:szCs w:val="20"/>
          <w:lang w:eastAsia="zh-TW"/>
        </w:rPr>
        <w:t>equ</w:t>
      </w:r>
      <w:r w:rsidR="00E07325" w:rsidRPr="002205C6">
        <w:rPr>
          <w:rFonts w:ascii="Verdana" w:hAnsi="Verdana"/>
          <w:sz w:val="20"/>
          <w:szCs w:val="20"/>
          <w:lang w:eastAsia="zh-TW"/>
        </w:rPr>
        <w:t>i</w:t>
      </w:r>
      <w:r w:rsidR="009C26BC" w:rsidRPr="002205C6">
        <w:rPr>
          <w:rFonts w:ascii="Verdana" w:hAnsi="Verdana"/>
          <w:sz w:val="20"/>
          <w:szCs w:val="20"/>
          <w:lang w:eastAsia="zh-TW"/>
        </w:rPr>
        <w:t>ty</w:t>
      </w:r>
      <w:r w:rsidR="007B6840" w:rsidRPr="002205C6">
        <w:rPr>
          <w:rFonts w:ascii="Verdana" w:hAnsi="Verdana"/>
          <w:sz w:val="20"/>
          <w:szCs w:val="20"/>
          <w:lang w:eastAsia="zh-TW"/>
        </w:rPr>
        <w:t xml:space="preserve"> among staff and students who have </w:t>
      </w:r>
      <w:r w:rsidR="004716A0" w:rsidRPr="002205C6">
        <w:rPr>
          <w:rFonts w:ascii="Verdana" w:hAnsi="Verdana"/>
          <w:sz w:val="20"/>
          <w:szCs w:val="20"/>
          <w:lang w:eastAsia="zh-TW"/>
        </w:rPr>
        <w:t>competing demands on their time</w:t>
      </w:r>
      <w:r w:rsidR="007B6A58" w:rsidRPr="002205C6">
        <w:rPr>
          <w:rFonts w:ascii="Verdana" w:hAnsi="Verdana"/>
          <w:sz w:val="20"/>
          <w:szCs w:val="20"/>
          <w:lang w:eastAsia="zh-TW"/>
        </w:rPr>
        <w:t>.</w:t>
      </w:r>
    </w:p>
    <w:p w:rsidR="00913BC1" w:rsidRPr="002205C6" w:rsidRDefault="00913BC1" w:rsidP="00487075">
      <w:pPr>
        <w:spacing w:before="240" w:after="0"/>
        <w:rPr>
          <w:rFonts w:ascii="Verdana" w:eastAsiaTheme="minorEastAsia" w:hAnsi="Verdana"/>
          <w:color w:val="365F91" w:themeColor="accent1" w:themeShade="BF"/>
          <w:lang w:val="en-NZ" w:eastAsia="zh-TW"/>
        </w:rPr>
      </w:pPr>
      <w:r w:rsidRPr="002205C6">
        <w:rPr>
          <w:rFonts w:ascii="Verdana" w:eastAsiaTheme="minorEastAsia" w:hAnsi="Verdana"/>
          <w:color w:val="365F91" w:themeColor="accent1" w:themeShade="BF"/>
          <w:lang w:val="en-NZ" w:eastAsia="zh-TW"/>
        </w:rPr>
        <w:t>Strategic initiatives:</w:t>
      </w:r>
    </w:p>
    <w:p w:rsidR="0037264D" w:rsidRPr="002205C6" w:rsidRDefault="007B6840" w:rsidP="00425F84">
      <w:pPr>
        <w:spacing w:after="0" w:line="240" w:lineRule="auto"/>
        <w:ind w:left="284" w:hanging="284"/>
        <w:rPr>
          <w:rFonts w:ascii="Verdana" w:hAnsi="Verdana"/>
          <w:sz w:val="20"/>
          <w:szCs w:val="20"/>
          <w:lang w:eastAsia="zh-TW"/>
        </w:rPr>
      </w:pPr>
      <w:r w:rsidRPr="002205C6">
        <w:rPr>
          <w:rFonts w:ascii="Symbol" w:hAnsi="Symbol" w:cs="Times New Roman"/>
          <w:sz w:val="20"/>
          <w:szCs w:val="20"/>
          <w:lang w:val="en-NZ"/>
        </w:rPr>
        <w:t></w:t>
      </w:r>
      <w:r w:rsidRPr="002205C6">
        <w:rPr>
          <w:rFonts w:ascii="Times New Roman" w:hAnsi="Times New Roman" w:cs="Times New Roman"/>
          <w:sz w:val="14"/>
          <w:szCs w:val="14"/>
          <w:lang w:val="en-NZ"/>
        </w:rPr>
        <w:t xml:space="preserve">      </w:t>
      </w:r>
      <w:r w:rsidR="0037264D" w:rsidRPr="002205C6">
        <w:rPr>
          <w:rFonts w:ascii="Verdana" w:hAnsi="Verdana"/>
          <w:sz w:val="20"/>
          <w:szCs w:val="20"/>
          <w:lang w:eastAsia="zh-TW"/>
        </w:rPr>
        <w:t xml:space="preserve">Enhanced the </w:t>
      </w:r>
      <w:r w:rsidR="000A41E9" w:rsidRPr="002205C6">
        <w:rPr>
          <w:rFonts w:ascii="Verdana" w:hAnsi="Verdana"/>
          <w:sz w:val="20"/>
          <w:szCs w:val="20"/>
          <w:lang w:eastAsia="zh-TW"/>
        </w:rPr>
        <w:t>UoA</w:t>
      </w:r>
      <w:r w:rsidR="0037264D" w:rsidRPr="002205C6">
        <w:rPr>
          <w:rFonts w:ascii="Verdana" w:hAnsi="Verdana"/>
          <w:sz w:val="20"/>
          <w:szCs w:val="20"/>
          <w:lang w:eastAsia="zh-TW"/>
        </w:rPr>
        <w:t>’s Zero Tolerance work by adding new teaching and learning resources and adding “ageism” to the Zero Tolerance collateral, including on pull-up banners</w:t>
      </w:r>
      <w:r w:rsidR="007A5D41" w:rsidRPr="002205C6">
        <w:rPr>
          <w:rFonts w:ascii="Verdana" w:hAnsi="Verdana"/>
          <w:sz w:val="20"/>
          <w:szCs w:val="20"/>
          <w:lang w:eastAsia="zh-TW"/>
        </w:rPr>
        <w:t xml:space="preserve"> and e-screens</w:t>
      </w:r>
      <w:r w:rsidR="0037264D" w:rsidRPr="002205C6">
        <w:rPr>
          <w:rFonts w:ascii="Verdana" w:hAnsi="Verdana"/>
          <w:sz w:val="20"/>
          <w:szCs w:val="20"/>
          <w:lang w:eastAsia="zh-TW"/>
        </w:rPr>
        <w:t xml:space="preserve"> displayed in all facult</w:t>
      </w:r>
      <w:bookmarkStart w:id="0" w:name="_GoBack"/>
      <w:bookmarkEnd w:id="0"/>
      <w:r w:rsidR="0037264D" w:rsidRPr="002205C6">
        <w:rPr>
          <w:rFonts w:ascii="Verdana" w:hAnsi="Verdana"/>
          <w:sz w:val="20"/>
          <w:szCs w:val="20"/>
          <w:lang w:eastAsia="zh-TW"/>
        </w:rPr>
        <w:t>ies and other high tr</w:t>
      </w:r>
      <w:r w:rsidR="00E90D51" w:rsidRPr="002205C6">
        <w:rPr>
          <w:rFonts w:ascii="Verdana" w:hAnsi="Verdana"/>
          <w:sz w:val="20"/>
          <w:szCs w:val="20"/>
          <w:lang w:eastAsia="zh-TW"/>
        </w:rPr>
        <w:t>affic areas across the campuses</w:t>
      </w:r>
    </w:p>
    <w:p w:rsidR="0037264D" w:rsidRPr="002205C6" w:rsidRDefault="0037264D" w:rsidP="00425F84">
      <w:pPr>
        <w:pStyle w:val="ListParagraph"/>
        <w:numPr>
          <w:ilvl w:val="0"/>
          <w:numId w:val="3"/>
        </w:numPr>
        <w:spacing w:after="0" w:line="240" w:lineRule="auto"/>
        <w:ind w:left="284" w:hanging="284"/>
        <w:rPr>
          <w:rFonts w:ascii="Verdana" w:hAnsi="Verdana"/>
          <w:sz w:val="20"/>
          <w:szCs w:val="20"/>
          <w:lang w:eastAsia="zh-TW"/>
        </w:rPr>
      </w:pPr>
      <w:r w:rsidRPr="002205C6">
        <w:rPr>
          <w:rFonts w:ascii="Verdana" w:hAnsi="Verdana"/>
          <w:sz w:val="20"/>
          <w:szCs w:val="20"/>
          <w:lang w:eastAsia="zh-TW"/>
        </w:rPr>
        <w:t>Identified and developed content celebrating Māori and Pacific alumni, working with key stakeholders (ARD, PVC Māori, Pacific Strategy and Engagement) to ensure content alignment in prospectuses and on a new alumni website.</w:t>
      </w:r>
    </w:p>
    <w:p w:rsidR="00362F93" w:rsidRPr="002205C6" w:rsidRDefault="00362F93" w:rsidP="00425F84">
      <w:pPr>
        <w:spacing w:after="0" w:line="240" w:lineRule="auto"/>
        <w:ind w:left="284" w:hanging="284"/>
        <w:rPr>
          <w:rFonts w:ascii="Verdana" w:hAnsi="Verdana" w:cs="Times New Roman"/>
          <w:sz w:val="20"/>
          <w:szCs w:val="20"/>
        </w:rPr>
      </w:pPr>
    </w:p>
    <w:p w:rsidR="00913BC1" w:rsidRPr="002205C6" w:rsidRDefault="007B6840" w:rsidP="009C26BC">
      <w:pPr>
        <w:spacing w:after="0"/>
        <w:rPr>
          <w:rFonts w:ascii="Verdana" w:eastAsiaTheme="minorEastAsia" w:hAnsi="Verdana"/>
          <w:color w:val="365F91" w:themeColor="accent1" w:themeShade="BF"/>
          <w:lang w:val="en-NZ" w:eastAsia="zh-TW"/>
        </w:rPr>
      </w:pPr>
      <w:r w:rsidRPr="002205C6">
        <w:rPr>
          <w:rFonts w:ascii="Verdana" w:eastAsiaTheme="minorEastAsia" w:hAnsi="Verdana"/>
          <w:color w:val="365F91" w:themeColor="accent1" w:themeShade="BF"/>
          <w:lang w:val="en-NZ" w:eastAsia="zh-TW"/>
        </w:rPr>
        <w:t>KPIs</w:t>
      </w:r>
      <w:r w:rsidR="00913BC1" w:rsidRPr="002205C6">
        <w:rPr>
          <w:rFonts w:ascii="Verdana" w:eastAsiaTheme="minorEastAsia" w:hAnsi="Verdana"/>
          <w:color w:val="365F91" w:themeColor="accent1" w:themeShade="BF"/>
          <w:lang w:val="en-NZ" w:eastAsia="zh-TW"/>
        </w:rPr>
        <w:t>:</w:t>
      </w:r>
    </w:p>
    <w:p w:rsidR="0037264D" w:rsidRPr="002205C6" w:rsidRDefault="0037264D" w:rsidP="00425F84">
      <w:pPr>
        <w:pStyle w:val="ListParagraph"/>
        <w:numPr>
          <w:ilvl w:val="0"/>
          <w:numId w:val="3"/>
        </w:numPr>
        <w:spacing w:after="0" w:line="240" w:lineRule="auto"/>
        <w:ind w:left="284" w:hanging="284"/>
        <w:contextualSpacing w:val="0"/>
        <w:rPr>
          <w:rFonts w:ascii="Verdana" w:hAnsi="Verdana"/>
          <w:sz w:val="20"/>
          <w:szCs w:val="20"/>
          <w:lang w:eastAsia="zh-TW"/>
        </w:rPr>
      </w:pPr>
      <w:r w:rsidRPr="002205C6">
        <w:rPr>
          <w:rFonts w:ascii="Verdana" w:hAnsi="Verdana"/>
          <w:sz w:val="20"/>
          <w:szCs w:val="20"/>
          <w:lang w:eastAsia="zh-TW"/>
        </w:rPr>
        <w:t xml:space="preserve">Exceeded the KPI for </w:t>
      </w:r>
      <w:r w:rsidR="007A5D41" w:rsidRPr="002205C6">
        <w:rPr>
          <w:rFonts w:ascii="Verdana" w:hAnsi="Verdana"/>
          <w:sz w:val="20"/>
          <w:szCs w:val="20"/>
          <w:lang w:eastAsia="zh-TW"/>
        </w:rPr>
        <w:t xml:space="preserve">audience </w:t>
      </w:r>
      <w:r w:rsidRPr="002205C6">
        <w:rPr>
          <w:rFonts w:ascii="Verdana" w:hAnsi="Verdana"/>
          <w:sz w:val="20"/>
          <w:szCs w:val="20"/>
          <w:lang w:eastAsia="zh-TW"/>
        </w:rPr>
        <w:t xml:space="preserve">engagement with </w:t>
      </w:r>
      <w:r w:rsidR="007A5D41" w:rsidRPr="002205C6">
        <w:rPr>
          <w:rFonts w:ascii="Verdana" w:hAnsi="Verdana"/>
          <w:sz w:val="20"/>
          <w:szCs w:val="20"/>
          <w:lang w:eastAsia="zh-TW"/>
        </w:rPr>
        <w:t>“</w:t>
      </w:r>
      <w:r w:rsidRPr="002205C6">
        <w:rPr>
          <w:rFonts w:ascii="Verdana" w:hAnsi="Verdana"/>
          <w:sz w:val="20"/>
          <w:szCs w:val="20"/>
          <w:lang w:eastAsia="zh-TW"/>
        </w:rPr>
        <w:t>Our Village, Our Kainga Facebook</w:t>
      </w:r>
      <w:r w:rsidR="007A5D41" w:rsidRPr="002205C6">
        <w:rPr>
          <w:rFonts w:ascii="Verdana" w:hAnsi="Verdana"/>
          <w:sz w:val="20"/>
          <w:szCs w:val="20"/>
          <w:lang w:eastAsia="zh-TW"/>
        </w:rPr>
        <w:t>”</w:t>
      </w:r>
      <w:r w:rsidRPr="002205C6">
        <w:rPr>
          <w:rFonts w:ascii="Verdana" w:hAnsi="Verdana"/>
          <w:sz w:val="20"/>
          <w:szCs w:val="20"/>
          <w:lang w:eastAsia="zh-TW"/>
        </w:rPr>
        <w:t xml:space="preserve"> wit</w:t>
      </w:r>
      <w:r w:rsidR="00E90D51" w:rsidRPr="002205C6">
        <w:rPr>
          <w:rFonts w:ascii="Verdana" w:hAnsi="Verdana"/>
          <w:sz w:val="20"/>
          <w:szCs w:val="20"/>
          <w:lang w:eastAsia="zh-TW"/>
        </w:rPr>
        <w:t>h 77% growth compared to 2016</w:t>
      </w:r>
    </w:p>
    <w:p w:rsidR="0037264D" w:rsidRPr="00576E5B" w:rsidRDefault="00A36BAB" w:rsidP="00425F84">
      <w:pPr>
        <w:pStyle w:val="ListParagraph"/>
        <w:numPr>
          <w:ilvl w:val="0"/>
          <w:numId w:val="3"/>
        </w:numPr>
        <w:spacing w:after="0" w:line="240" w:lineRule="auto"/>
        <w:ind w:left="284" w:hanging="284"/>
        <w:contextualSpacing w:val="0"/>
        <w:rPr>
          <w:rFonts w:ascii="Verdana" w:hAnsi="Verdana"/>
          <w:sz w:val="20"/>
          <w:szCs w:val="20"/>
          <w:lang w:eastAsia="zh-TW"/>
        </w:rPr>
      </w:pPr>
      <w:r w:rsidRPr="00576E5B">
        <w:rPr>
          <w:rFonts w:ascii="Verdana" w:hAnsi="Verdana"/>
          <w:sz w:val="20"/>
          <w:szCs w:val="20"/>
          <w:lang w:eastAsia="zh-TW"/>
        </w:rPr>
        <w:t xml:space="preserve">The Information for Staff landing page exceeded </w:t>
      </w:r>
      <w:r w:rsidR="007A5D41" w:rsidRPr="00576E5B">
        <w:rPr>
          <w:rFonts w:ascii="Verdana" w:hAnsi="Verdana"/>
          <w:sz w:val="20"/>
          <w:szCs w:val="20"/>
          <w:lang w:eastAsia="zh-TW"/>
        </w:rPr>
        <w:t>the KPI,</w:t>
      </w:r>
      <w:r w:rsidRPr="00576E5B">
        <w:rPr>
          <w:rFonts w:ascii="Verdana" w:hAnsi="Verdana"/>
          <w:sz w:val="20"/>
          <w:szCs w:val="20"/>
          <w:lang w:eastAsia="zh-TW"/>
        </w:rPr>
        <w:t xml:space="preserve"> sitting in the 3</w:t>
      </w:r>
      <w:r w:rsidRPr="00576E5B">
        <w:rPr>
          <w:rFonts w:ascii="Verdana" w:hAnsi="Verdana"/>
          <w:sz w:val="20"/>
          <w:szCs w:val="20"/>
          <w:vertAlign w:val="superscript"/>
          <w:lang w:eastAsia="zh-TW"/>
        </w:rPr>
        <w:t>rd</w:t>
      </w:r>
      <w:r w:rsidRPr="00576E5B">
        <w:rPr>
          <w:rFonts w:ascii="Verdana" w:hAnsi="Verdana"/>
          <w:sz w:val="20"/>
          <w:szCs w:val="20"/>
          <w:lang w:eastAsia="zh-TW"/>
        </w:rPr>
        <w:t xml:space="preserve"> most v</w:t>
      </w:r>
      <w:r w:rsidR="00E90D51" w:rsidRPr="00576E5B">
        <w:rPr>
          <w:rFonts w:ascii="Verdana" w:hAnsi="Verdana"/>
          <w:sz w:val="20"/>
          <w:szCs w:val="20"/>
          <w:lang w:eastAsia="zh-TW"/>
        </w:rPr>
        <w:t>iewed equity web page in 2017</w:t>
      </w:r>
    </w:p>
    <w:p w:rsidR="004928E1" w:rsidRPr="00576E5B" w:rsidRDefault="00576E5B" w:rsidP="00425F84">
      <w:pPr>
        <w:pStyle w:val="ListParagraph"/>
        <w:numPr>
          <w:ilvl w:val="0"/>
          <w:numId w:val="3"/>
        </w:numPr>
        <w:spacing w:after="0" w:line="240" w:lineRule="auto"/>
        <w:ind w:left="284" w:hanging="284"/>
        <w:rPr>
          <w:rFonts w:ascii="Verdana" w:hAnsi="Verdana"/>
          <w:sz w:val="20"/>
          <w:szCs w:val="20"/>
          <w:lang w:eastAsia="zh-TW"/>
        </w:rPr>
      </w:pPr>
      <w:r w:rsidRPr="00576E5B">
        <w:rPr>
          <w:rFonts w:ascii="Verdana" w:hAnsi="Verdana"/>
          <w:sz w:val="20"/>
          <w:szCs w:val="20"/>
        </w:rPr>
        <w:t>Exceeded</w:t>
      </w:r>
      <w:r w:rsidR="0037264D" w:rsidRPr="00576E5B">
        <w:rPr>
          <w:rFonts w:ascii="Verdana" w:hAnsi="Verdana"/>
          <w:sz w:val="20"/>
          <w:szCs w:val="20"/>
        </w:rPr>
        <w:t xml:space="preserve"> the KPI </w:t>
      </w:r>
      <w:r w:rsidR="007A5D41" w:rsidRPr="00576E5B">
        <w:rPr>
          <w:rFonts w:ascii="Verdana" w:hAnsi="Verdana"/>
          <w:sz w:val="20"/>
          <w:szCs w:val="20"/>
        </w:rPr>
        <w:t>f</w:t>
      </w:r>
      <w:r w:rsidR="00CF77C3" w:rsidRPr="00576E5B">
        <w:rPr>
          <w:rFonts w:ascii="Verdana" w:hAnsi="Verdana"/>
          <w:sz w:val="20"/>
          <w:szCs w:val="20"/>
        </w:rPr>
        <w:t>or</w:t>
      </w:r>
      <w:r w:rsidR="0037264D" w:rsidRPr="00576E5B">
        <w:rPr>
          <w:rFonts w:ascii="Verdana" w:hAnsi="Verdana"/>
          <w:sz w:val="20"/>
          <w:szCs w:val="20"/>
        </w:rPr>
        <w:t xml:space="preserve"> equity focussed FAQs added to the </w:t>
      </w:r>
      <w:r w:rsidR="000A41E9" w:rsidRPr="00576E5B">
        <w:rPr>
          <w:rFonts w:ascii="Verdana" w:hAnsi="Verdana"/>
          <w:sz w:val="20"/>
          <w:szCs w:val="20"/>
        </w:rPr>
        <w:t>UoA</w:t>
      </w:r>
      <w:r w:rsidR="0037264D" w:rsidRPr="00576E5B">
        <w:rPr>
          <w:rFonts w:ascii="Verdana" w:hAnsi="Verdana"/>
          <w:sz w:val="20"/>
          <w:szCs w:val="20"/>
        </w:rPr>
        <w:t xml:space="preserve"> knowledge bases</w:t>
      </w:r>
      <w:r w:rsidRPr="00576E5B">
        <w:rPr>
          <w:rFonts w:ascii="Verdana" w:hAnsi="Verdana"/>
          <w:sz w:val="20"/>
          <w:szCs w:val="20"/>
        </w:rPr>
        <w:t>, with a</w:t>
      </w:r>
      <w:r w:rsidR="0037264D" w:rsidRPr="00576E5B">
        <w:rPr>
          <w:rFonts w:ascii="Verdana" w:hAnsi="Verdana"/>
          <w:sz w:val="20"/>
          <w:szCs w:val="20"/>
        </w:rPr>
        <w:t xml:space="preserve"> </w:t>
      </w:r>
      <w:r w:rsidR="00A36BAB" w:rsidRPr="00576E5B">
        <w:rPr>
          <w:rFonts w:ascii="Verdana" w:hAnsi="Verdana"/>
          <w:sz w:val="20"/>
          <w:szCs w:val="20"/>
        </w:rPr>
        <w:t>44.7%</w:t>
      </w:r>
      <w:r w:rsidR="00255DE3" w:rsidRPr="00576E5B">
        <w:rPr>
          <w:rFonts w:ascii="Verdana" w:hAnsi="Verdana"/>
          <w:sz w:val="20"/>
          <w:szCs w:val="20"/>
        </w:rPr>
        <w:t xml:space="preserve"> </w:t>
      </w:r>
      <w:r w:rsidRPr="00576E5B">
        <w:rPr>
          <w:rFonts w:ascii="Verdana" w:hAnsi="Verdana"/>
          <w:sz w:val="20"/>
          <w:szCs w:val="20"/>
        </w:rPr>
        <w:t>increase</w:t>
      </w:r>
    </w:p>
    <w:p w:rsidR="0037264D" w:rsidRPr="002205C6" w:rsidRDefault="004B52E5" w:rsidP="00425F84">
      <w:pPr>
        <w:pStyle w:val="ListParagraph"/>
        <w:numPr>
          <w:ilvl w:val="0"/>
          <w:numId w:val="3"/>
        </w:numPr>
        <w:spacing w:after="0" w:line="240" w:lineRule="auto"/>
        <w:ind w:left="284" w:hanging="284"/>
        <w:rPr>
          <w:rFonts w:ascii="Verdana" w:hAnsi="Verdana"/>
          <w:sz w:val="20"/>
          <w:szCs w:val="20"/>
          <w:lang w:eastAsia="zh-TW"/>
        </w:rPr>
      </w:pPr>
      <w:r w:rsidRPr="00576E5B">
        <w:rPr>
          <w:rFonts w:ascii="Verdana" w:hAnsi="Verdana"/>
          <w:sz w:val="20"/>
          <w:szCs w:val="20"/>
        </w:rPr>
        <w:t>KPI of increasing</w:t>
      </w:r>
      <w:r w:rsidR="004928E1" w:rsidRPr="002205C6">
        <w:rPr>
          <w:rFonts w:ascii="Verdana" w:hAnsi="Verdana"/>
          <w:sz w:val="20"/>
          <w:szCs w:val="20"/>
        </w:rPr>
        <w:t xml:space="preserve"> annual page views of equity website by 2% not achieved due to content freeze during new website migration</w:t>
      </w:r>
      <w:r w:rsidR="00255DE3" w:rsidRPr="002205C6">
        <w:rPr>
          <w:rFonts w:ascii="Verdana" w:hAnsi="Verdana"/>
          <w:sz w:val="20"/>
          <w:szCs w:val="20"/>
        </w:rPr>
        <w:t>.</w:t>
      </w:r>
    </w:p>
    <w:p w:rsidR="0037264D" w:rsidRPr="002205C6" w:rsidRDefault="0037264D" w:rsidP="00A36BAB">
      <w:pPr>
        <w:pStyle w:val="ListParagraph"/>
        <w:spacing w:after="0" w:line="240" w:lineRule="auto"/>
        <w:contextualSpacing w:val="0"/>
        <w:rPr>
          <w:rFonts w:ascii="Verdana" w:hAnsi="Verdana"/>
          <w:sz w:val="20"/>
          <w:szCs w:val="20"/>
          <w:lang w:eastAsia="zh-TW"/>
        </w:rPr>
      </w:pPr>
    </w:p>
    <w:p w:rsidR="005B2DAF" w:rsidRPr="002205C6" w:rsidRDefault="005B2DAF" w:rsidP="009C26BC">
      <w:pPr>
        <w:spacing w:after="0"/>
        <w:rPr>
          <w:rFonts w:ascii="Verdana" w:hAnsi="Verdana"/>
          <w:color w:val="365F91" w:themeColor="accent1" w:themeShade="BF"/>
          <w:lang w:eastAsia="zh-TW"/>
        </w:rPr>
      </w:pPr>
      <w:r w:rsidRPr="002205C6">
        <w:rPr>
          <w:rFonts w:ascii="Verdana" w:hAnsi="Verdana"/>
          <w:color w:val="365F91" w:themeColor="accent1" w:themeShade="BF"/>
          <w:lang w:eastAsia="zh-TW"/>
        </w:rPr>
        <w:t>Update:</w:t>
      </w:r>
    </w:p>
    <w:p w:rsidR="0037264D" w:rsidRPr="002205C6" w:rsidRDefault="0037264D" w:rsidP="00E90D51">
      <w:pPr>
        <w:pStyle w:val="ListParagraph"/>
        <w:numPr>
          <w:ilvl w:val="0"/>
          <w:numId w:val="3"/>
        </w:numPr>
        <w:spacing w:after="0" w:line="240" w:lineRule="auto"/>
        <w:ind w:left="284" w:hanging="284"/>
        <w:contextualSpacing w:val="0"/>
        <w:rPr>
          <w:rFonts w:ascii="Verdana" w:hAnsi="Verdana"/>
          <w:sz w:val="20"/>
          <w:szCs w:val="20"/>
          <w:lang w:eastAsia="zh-TW"/>
        </w:rPr>
      </w:pPr>
      <w:r w:rsidRPr="002205C6">
        <w:rPr>
          <w:rFonts w:ascii="Verdana" w:hAnsi="Verdana"/>
          <w:sz w:val="20"/>
          <w:szCs w:val="20"/>
          <w:lang w:eastAsia="zh-TW"/>
        </w:rPr>
        <w:t>In 2017 the Equity Office:</w:t>
      </w:r>
    </w:p>
    <w:p w:rsidR="0037264D" w:rsidRPr="002205C6" w:rsidRDefault="0037264D" w:rsidP="006004D7">
      <w:pPr>
        <w:pStyle w:val="ListParagraph"/>
        <w:numPr>
          <w:ilvl w:val="1"/>
          <w:numId w:val="3"/>
        </w:numPr>
        <w:spacing w:after="0" w:line="240" w:lineRule="auto"/>
        <w:ind w:left="851" w:hanging="284"/>
        <w:contextualSpacing w:val="0"/>
        <w:rPr>
          <w:rFonts w:ascii="Verdana" w:hAnsi="Verdana"/>
          <w:sz w:val="20"/>
          <w:szCs w:val="20"/>
          <w:lang w:eastAsia="zh-TW"/>
        </w:rPr>
      </w:pPr>
      <w:r w:rsidRPr="002205C6">
        <w:rPr>
          <w:rFonts w:ascii="Verdana" w:hAnsi="Verdana"/>
          <w:sz w:val="20"/>
          <w:szCs w:val="20"/>
          <w:lang w:eastAsia="zh-TW"/>
        </w:rPr>
        <w:t xml:space="preserve">Led a familiarisation programme for secondary students from refugee backgrounds which included </w:t>
      </w:r>
      <w:r w:rsidR="001D741D" w:rsidRPr="002205C6">
        <w:rPr>
          <w:rFonts w:ascii="Verdana" w:hAnsi="Verdana"/>
          <w:sz w:val="20"/>
          <w:szCs w:val="20"/>
          <w:lang w:eastAsia="zh-TW"/>
        </w:rPr>
        <w:t xml:space="preserve">a </w:t>
      </w:r>
      <w:r w:rsidRPr="002205C6">
        <w:rPr>
          <w:rFonts w:ascii="Verdana" w:hAnsi="Verdana"/>
          <w:sz w:val="20"/>
          <w:szCs w:val="20"/>
          <w:lang w:eastAsia="zh-TW"/>
        </w:rPr>
        <w:t xml:space="preserve">panel discussion by </w:t>
      </w:r>
      <w:r w:rsidR="000A41E9" w:rsidRPr="002205C6">
        <w:rPr>
          <w:rFonts w:ascii="Verdana" w:hAnsi="Verdana"/>
          <w:sz w:val="20"/>
          <w:szCs w:val="20"/>
          <w:lang w:eastAsia="zh-TW"/>
        </w:rPr>
        <w:t>UoA</w:t>
      </w:r>
      <w:r w:rsidRPr="002205C6">
        <w:rPr>
          <w:rFonts w:ascii="Verdana" w:hAnsi="Verdana"/>
          <w:sz w:val="20"/>
          <w:szCs w:val="20"/>
          <w:lang w:eastAsia="zh-TW"/>
        </w:rPr>
        <w:t xml:space="preserve"> current and alumni st</w:t>
      </w:r>
      <w:r w:rsidR="00E90D51" w:rsidRPr="002205C6">
        <w:rPr>
          <w:rFonts w:ascii="Verdana" w:hAnsi="Verdana"/>
          <w:sz w:val="20"/>
          <w:szCs w:val="20"/>
          <w:lang w:eastAsia="zh-TW"/>
        </w:rPr>
        <w:t>udents from refugee backgrounds</w:t>
      </w:r>
    </w:p>
    <w:p w:rsidR="0037264D" w:rsidRPr="002205C6" w:rsidRDefault="0037264D" w:rsidP="006004D7">
      <w:pPr>
        <w:pStyle w:val="ListParagraph"/>
        <w:numPr>
          <w:ilvl w:val="1"/>
          <w:numId w:val="3"/>
        </w:numPr>
        <w:spacing w:after="0" w:line="240" w:lineRule="auto"/>
        <w:ind w:left="851" w:hanging="284"/>
        <w:contextualSpacing w:val="0"/>
        <w:rPr>
          <w:rFonts w:ascii="Verdana" w:hAnsi="Verdana"/>
          <w:sz w:val="20"/>
          <w:szCs w:val="20"/>
          <w:lang w:eastAsia="zh-TW"/>
        </w:rPr>
      </w:pPr>
      <w:r w:rsidRPr="002205C6">
        <w:rPr>
          <w:rFonts w:ascii="Verdana" w:hAnsi="Verdana"/>
          <w:sz w:val="20"/>
          <w:szCs w:val="20"/>
          <w:lang w:eastAsia="zh-TW"/>
        </w:rPr>
        <w:t>Promoted staff equity</w:t>
      </w:r>
      <w:r w:rsidR="00840E03" w:rsidRPr="002205C6">
        <w:rPr>
          <w:rFonts w:ascii="Verdana" w:hAnsi="Verdana"/>
          <w:sz w:val="20"/>
          <w:szCs w:val="20"/>
          <w:lang w:eastAsia="zh-TW"/>
        </w:rPr>
        <w:t xml:space="preserve"> information</w:t>
      </w:r>
      <w:r w:rsidRPr="002205C6">
        <w:rPr>
          <w:rFonts w:ascii="Verdana" w:hAnsi="Verdana"/>
          <w:sz w:val="20"/>
          <w:szCs w:val="20"/>
          <w:lang w:eastAsia="zh-TW"/>
        </w:rPr>
        <w:t xml:space="preserve"> across key </w:t>
      </w:r>
      <w:r w:rsidR="000A41E9" w:rsidRPr="002205C6">
        <w:rPr>
          <w:rFonts w:ascii="Verdana" w:hAnsi="Verdana"/>
          <w:sz w:val="20"/>
          <w:szCs w:val="20"/>
          <w:lang w:eastAsia="zh-TW"/>
        </w:rPr>
        <w:t>UoA</w:t>
      </w:r>
      <w:r w:rsidR="00E90D51" w:rsidRPr="002205C6">
        <w:rPr>
          <w:rFonts w:ascii="Verdana" w:hAnsi="Verdana"/>
          <w:sz w:val="20"/>
          <w:szCs w:val="20"/>
          <w:lang w:eastAsia="zh-TW"/>
        </w:rPr>
        <w:t xml:space="preserve"> communications channels</w:t>
      </w:r>
    </w:p>
    <w:p w:rsidR="0037264D" w:rsidRPr="002205C6" w:rsidRDefault="0037264D" w:rsidP="006004D7">
      <w:pPr>
        <w:pStyle w:val="ListParagraph"/>
        <w:numPr>
          <w:ilvl w:val="1"/>
          <w:numId w:val="3"/>
        </w:numPr>
        <w:spacing w:after="0" w:line="240" w:lineRule="auto"/>
        <w:ind w:left="851" w:hanging="284"/>
        <w:contextualSpacing w:val="0"/>
        <w:rPr>
          <w:rFonts w:ascii="Verdana" w:hAnsi="Verdana"/>
          <w:sz w:val="20"/>
          <w:szCs w:val="20"/>
          <w:lang w:eastAsia="zh-TW"/>
        </w:rPr>
      </w:pPr>
      <w:r w:rsidRPr="002205C6">
        <w:rPr>
          <w:rFonts w:ascii="Verdana" w:hAnsi="Verdana"/>
          <w:sz w:val="20"/>
          <w:szCs w:val="20"/>
          <w:lang w:eastAsia="zh-TW"/>
        </w:rPr>
        <w:t xml:space="preserve">Led the </w:t>
      </w:r>
      <w:r w:rsidR="000A41E9" w:rsidRPr="002205C6">
        <w:rPr>
          <w:rFonts w:ascii="Verdana" w:hAnsi="Verdana"/>
          <w:sz w:val="20"/>
          <w:szCs w:val="20"/>
          <w:lang w:eastAsia="zh-TW"/>
        </w:rPr>
        <w:t>UoA</w:t>
      </w:r>
      <w:r w:rsidRPr="002205C6">
        <w:rPr>
          <w:rFonts w:ascii="Verdana" w:hAnsi="Verdana"/>
          <w:sz w:val="20"/>
          <w:szCs w:val="20"/>
          <w:lang w:eastAsia="zh-TW"/>
        </w:rPr>
        <w:t>’</w:t>
      </w:r>
      <w:r w:rsidR="00EF1D81" w:rsidRPr="002205C6">
        <w:rPr>
          <w:rFonts w:ascii="Verdana" w:hAnsi="Verdana"/>
          <w:sz w:val="20"/>
          <w:szCs w:val="20"/>
          <w:lang w:eastAsia="zh-TW"/>
        </w:rPr>
        <w:t xml:space="preserve">s </w:t>
      </w:r>
      <w:r w:rsidRPr="002205C6">
        <w:rPr>
          <w:rFonts w:ascii="Verdana" w:hAnsi="Verdana"/>
          <w:sz w:val="20"/>
          <w:szCs w:val="20"/>
          <w:lang w:eastAsia="zh-TW"/>
        </w:rPr>
        <w:t>presence at Big Gay Out and Pride Parade 2017</w:t>
      </w:r>
      <w:r w:rsidR="00EF1D81" w:rsidRPr="002205C6">
        <w:rPr>
          <w:rFonts w:ascii="Verdana" w:hAnsi="Verdana"/>
          <w:sz w:val="20"/>
          <w:szCs w:val="20"/>
          <w:lang w:eastAsia="zh-TW"/>
        </w:rPr>
        <w:t xml:space="preserve"> </w:t>
      </w:r>
    </w:p>
    <w:p w:rsidR="00AD7BAE" w:rsidRPr="002205C6" w:rsidRDefault="0037264D" w:rsidP="006004D7">
      <w:pPr>
        <w:pStyle w:val="ListParagraph"/>
        <w:numPr>
          <w:ilvl w:val="1"/>
          <w:numId w:val="3"/>
        </w:numPr>
        <w:spacing w:after="0" w:line="240" w:lineRule="auto"/>
        <w:ind w:left="851" w:hanging="284"/>
        <w:rPr>
          <w:rFonts w:ascii="Verdana" w:hAnsi="Verdana"/>
          <w:sz w:val="20"/>
          <w:szCs w:val="20"/>
          <w:lang w:eastAsia="zh-TW"/>
        </w:rPr>
      </w:pPr>
      <w:r w:rsidRPr="002205C6">
        <w:rPr>
          <w:rFonts w:ascii="Verdana" w:hAnsi="Verdana"/>
          <w:sz w:val="20"/>
          <w:szCs w:val="20"/>
        </w:rPr>
        <w:t>Participated in HR Recruitment Technology Investment Logic Mapping to ensure new recruitment technology meets equity needs</w:t>
      </w:r>
    </w:p>
    <w:p w:rsidR="00AD7BAE" w:rsidRPr="002205C6" w:rsidRDefault="0037264D" w:rsidP="006004D7">
      <w:pPr>
        <w:pStyle w:val="ListParagraph"/>
        <w:numPr>
          <w:ilvl w:val="1"/>
          <w:numId w:val="3"/>
        </w:numPr>
        <w:spacing w:after="0" w:line="240" w:lineRule="auto"/>
        <w:ind w:left="851" w:hanging="284"/>
        <w:rPr>
          <w:rFonts w:ascii="Verdana" w:hAnsi="Verdana"/>
          <w:sz w:val="20"/>
          <w:szCs w:val="20"/>
          <w:lang w:eastAsia="zh-TW"/>
        </w:rPr>
      </w:pPr>
      <w:r w:rsidRPr="002205C6">
        <w:rPr>
          <w:rFonts w:ascii="Verdana" w:hAnsi="Verdana"/>
          <w:sz w:val="20"/>
          <w:szCs w:val="20"/>
        </w:rPr>
        <w:t>Communicated equity requirements</w:t>
      </w:r>
      <w:r w:rsidR="006925BE" w:rsidRPr="002205C6">
        <w:rPr>
          <w:rFonts w:ascii="Verdana" w:hAnsi="Verdana"/>
          <w:sz w:val="20"/>
          <w:szCs w:val="20"/>
        </w:rPr>
        <w:t xml:space="preserve"> to HR</w:t>
      </w:r>
      <w:r w:rsidRPr="002205C6">
        <w:rPr>
          <w:rFonts w:ascii="Verdana" w:hAnsi="Verdana"/>
          <w:sz w:val="20"/>
          <w:szCs w:val="20"/>
        </w:rPr>
        <w:t xml:space="preserve"> </w:t>
      </w:r>
      <w:r w:rsidR="006925BE" w:rsidRPr="002205C6">
        <w:rPr>
          <w:rFonts w:ascii="Verdana" w:hAnsi="Verdana"/>
          <w:sz w:val="20"/>
          <w:szCs w:val="20"/>
        </w:rPr>
        <w:t xml:space="preserve">regarding </w:t>
      </w:r>
      <w:r w:rsidR="00EF1D81" w:rsidRPr="002205C6">
        <w:rPr>
          <w:rFonts w:ascii="Verdana" w:hAnsi="Verdana"/>
          <w:sz w:val="20"/>
          <w:szCs w:val="20"/>
        </w:rPr>
        <w:t xml:space="preserve">the </w:t>
      </w:r>
      <w:r w:rsidRPr="002205C6">
        <w:rPr>
          <w:rFonts w:ascii="Verdana" w:hAnsi="Verdana"/>
          <w:sz w:val="20"/>
          <w:szCs w:val="20"/>
        </w:rPr>
        <w:t>recruitment process for hiring manag</w:t>
      </w:r>
      <w:r w:rsidR="004A4CA3" w:rsidRPr="002205C6">
        <w:rPr>
          <w:rFonts w:ascii="Verdana" w:hAnsi="Verdana"/>
          <w:sz w:val="20"/>
          <w:szCs w:val="20"/>
        </w:rPr>
        <w:t>ers to comply with</w:t>
      </w:r>
      <w:r w:rsidR="000A41E9" w:rsidRPr="002205C6">
        <w:rPr>
          <w:rFonts w:ascii="Verdana" w:hAnsi="Verdana"/>
          <w:sz w:val="20"/>
          <w:szCs w:val="20"/>
        </w:rPr>
        <w:t xml:space="preserve"> LGBTI s</w:t>
      </w:r>
      <w:r w:rsidRPr="002205C6">
        <w:rPr>
          <w:rFonts w:ascii="Verdana" w:hAnsi="Verdana"/>
          <w:sz w:val="20"/>
          <w:szCs w:val="20"/>
        </w:rPr>
        <w:t>tandards</w:t>
      </w:r>
    </w:p>
    <w:p w:rsidR="00AD7BAE" w:rsidRPr="002205C6" w:rsidRDefault="004D5A2C" w:rsidP="006004D7">
      <w:pPr>
        <w:pStyle w:val="ListParagraph"/>
        <w:numPr>
          <w:ilvl w:val="1"/>
          <w:numId w:val="3"/>
        </w:numPr>
        <w:spacing w:after="0" w:line="240" w:lineRule="auto"/>
        <w:ind w:left="851" w:hanging="284"/>
        <w:rPr>
          <w:rFonts w:ascii="Verdana" w:hAnsi="Verdana"/>
          <w:sz w:val="20"/>
          <w:szCs w:val="20"/>
          <w:lang w:eastAsia="zh-TW"/>
        </w:rPr>
      </w:pPr>
      <w:r w:rsidRPr="002205C6">
        <w:rPr>
          <w:rFonts w:ascii="Verdana" w:hAnsi="Verdana"/>
          <w:sz w:val="20"/>
          <w:szCs w:val="20"/>
        </w:rPr>
        <w:t>Developed two new staff equity web pages: Gender and Unconscious Bias</w:t>
      </w:r>
    </w:p>
    <w:p w:rsidR="00AD7BAE" w:rsidRPr="002205C6" w:rsidRDefault="004D5A2C" w:rsidP="006004D7">
      <w:pPr>
        <w:pStyle w:val="ListParagraph"/>
        <w:numPr>
          <w:ilvl w:val="1"/>
          <w:numId w:val="3"/>
        </w:numPr>
        <w:spacing w:after="0" w:line="240" w:lineRule="auto"/>
        <w:ind w:left="851" w:hanging="284"/>
        <w:rPr>
          <w:rFonts w:ascii="Verdana" w:hAnsi="Verdana"/>
          <w:sz w:val="20"/>
          <w:szCs w:val="20"/>
          <w:lang w:eastAsia="zh-TW"/>
        </w:rPr>
      </w:pPr>
      <w:r w:rsidRPr="002205C6">
        <w:rPr>
          <w:rFonts w:ascii="Verdana" w:hAnsi="Verdana"/>
          <w:sz w:val="20"/>
          <w:szCs w:val="20"/>
        </w:rPr>
        <w:t>Worked with HR to develop resources that will enhance the recruitment and selection process</w:t>
      </w:r>
    </w:p>
    <w:p w:rsidR="0037264D" w:rsidRPr="002205C6" w:rsidRDefault="00FA7A3E" w:rsidP="00AD7BAE">
      <w:pPr>
        <w:pStyle w:val="ListParagraph"/>
        <w:numPr>
          <w:ilvl w:val="0"/>
          <w:numId w:val="3"/>
        </w:numPr>
        <w:spacing w:after="0" w:line="240" w:lineRule="auto"/>
        <w:ind w:left="284" w:hanging="284"/>
        <w:rPr>
          <w:rFonts w:ascii="Verdana" w:hAnsi="Verdana"/>
          <w:sz w:val="20"/>
          <w:szCs w:val="20"/>
        </w:rPr>
      </w:pPr>
      <w:r w:rsidRPr="002205C6">
        <w:rPr>
          <w:rFonts w:ascii="Verdana" w:hAnsi="Verdana"/>
          <w:sz w:val="20"/>
          <w:szCs w:val="20"/>
        </w:rPr>
        <w:t>T</w:t>
      </w:r>
      <w:r w:rsidR="00313010" w:rsidRPr="002205C6">
        <w:rPr>
          <w:rFonts w:ascii="Verdana" w:hAnsi="Verdana"/>
          <w:sz w:val="20"/>
          <w:szCs w:val="20"/>
        </w:rPr>
        <w:t>raining was delivered</w:t>
      </w:r>
      <w:r w:rsidR="0037264D" w:rsidRPr="002205C6">
        <w:rPr>
          <w:rFonts w:ascii="Verdana" w:hAnsi="Verdana"/>
          <w:sz w:val="20"/>
          <w:szCs w:val="20"/>
        </w:rPr>
        <w:t xml:space="preserve"> on:</w:t>
      </w:r>
    </w:p>
    <w:p w:rsidR="00A647BC" w:rsidRPr="002205C6" w:rsidRDefault="0037264D" w:rsidP="00A647BC">
      <w:pPr>
        <w:pStyle w:val="ListParagraph"/>
        <w:numPr>
          <w:ilvl w:val="1"/>
          <w:numId w:val="3"/>
        </w:numPr>
        <w:spacing w:after="0" w:line="240" w:lineRule="auto"/>
        <w:ind w:left="851" w:hanging="284"/>
        <w:rPr>
          <w:rFonts w:ascii="Verdana" w:hAnsi="Verdana"/>
          <w:sz w:val="20"/>
          <w:szCs w:val="20"/>
        </w:rPr>
      </w:pPr>
      <w:r w:rsidRPr="002205C6">
        <w:rPr>
          <w:rFonts w:ascii="Verdana" w:hAnsi="Verdana"/>
          <w:sz w:val="20"/>
          <w:szCs w:val="20"/>
        </w:rPr>
        <w:t>Family Violence</w:t>
      </w:r>
      <w:r w:rsidR="006C62F1" w:rsidRPr="002205C6">
        <w:rPr>
          <w:rFonts w:ascii="Verdana" w:hAnsi="Verdana"/>
          <w:sz w:val="20"/>
          <w:szCs w:val="20"/>
        </w:rPr>
        <w:t>,</w:t>
      </w:r>
      <w:r w:rsidR="00637B1D" w:rsidRPr="002205C6">
        <w:rPr>
          <w:rFonts w:ascii="Verdana" w:hAnsi="Verdana"/>
          <w:sz w:val="20"/>
          <w:szCs w:val="20"/>
        </w:rPr>
        <w:t xml:space="preserve"> to</w:t>
      </w:r>
      <w:r w:rsidRPr="002205C6">
        <w:rPr>
          <w:rFonts w:ascii="Verdana" w:hAnsi="Verdana"/>
          <w:sz w:val="20"/>
          <w:szCs w:val="20"/>
        </w:rPr>
        <w:t xml:space="preserve"> staff and students (including residential adv</w:t>
      </w:r>
      <w:r w:rsidR="00637B1D" w:rsidRPr="002205C6">
        <w:rPr>
          <w:rFonts w:ascii="Verdana" w:hAnsi="Verdana"/>
          <w:sz w:val="20"/>
          <w:szCs w:val="20"/>
        </w:rPr>
        <w:t>isers and AUSA</w:t>
      </w:r>
      <w:r w:rsidRPr="002205C6">
        <w:rPr>
          <w:rFonts w:ascii="Verdana" w:hAnsi="Verdana"/>
          <w:sz w:val="20"/>
          <w:szCs w:val="20"/>
        </w:rPr>
        <w:t>)</w:t>
      </w:r>
      <w:r w:rsidR="00A647BC" w:rsidRPr="002205C6">
        <w:rPr>
          <w:rFonts w:ascii="Verdana" w:hAnsi="Verdana"/>
          <w:sz w:val="20"/>
          <w:szCs w:val="20"/>
        </w:rPr>
        <w:t>.  Family Violence included in the curriculum for Optometry and Medical students</w:t>
      </w:r>
    </w:p>
    <w:p w:rsidR="0037264D" w:rsidRPr="002205C6" w:rsidRDefault="0037264D" w:rsidP="006004D7">
      <w:pPr>
        <w:pStyle w:val="ListParagraph"/>
        <w:numPr>
          <w:ilvl w:val="1"/>
          <w:numId w:val="3"/>
        </w:numPr>
        <w:spacing w:after="0" w:line="240" w:lineRule="auto"/>
        <w:ind w:left="851" w:hanging="284"/>
        <w:rPr>
          <w:rFonts w:ascii="Verdana" w:hAnsi="Verdana"/>
          <w:sz w:val="20"/>
          <w:szCs w:val="20"/>
        </w:rPr>
      </w:pPr>
      <w:r w:rsidRPr="002205C6">
        <w:rPr>
          <w:rFonts w:ascii="Verdana" w:hAnsi="Verdana"/>
          <w:sz w:val="20"/>
          <w:szCs w:val="20"/>
        </w:rPr>
        <w:t>Equitable practices for</w:t>
      </w:r>
      <w:r w:rsidR="00313010" w:rsidRPr="002205C6">
        <w:rPr>
          <w:rFonts w:ascii="Verdana" w:hAnsi="Verdana"/>
          <w:sz w:val="20"/>
          <w:szCs w:val="20"/>
        </w:rPr>
        <w:t xml:space="preserve"> the</w:t>
      </w:r>
      <w:r w:rsidRPr="002205C6">
        <w:rPr>
          <w:rFonts w:ascii="Verdana" w:hAnsi="Verdana"/>
          <w:sz w:val="20"/>
          <w:szCs w:val="20"/>
        </w:rPr>
        <w:t xml:space="preserve"> Academic Heads Advisory Group</w:t>
      </w:r>
    </w:p>
    <w:p w:rsidR="0037264D" w:rsidRPr="002205C6" w:rsidRDefault="0037264D" w:rsidP="006004D7">
      <w:pPr>
        <w:pStyle w:val="ListParagraph"/>
        <w:numPr>
          <w:ilvl w:val="1"/>
          <w:numId w:val="3"/>
        </w:numPr>
        <w:spacing w:after="0" w:line="240" w:lineRule="auto"/>
        <w:ind w:left="851" w:hanging="284"/>
        <w:rPr>
          <w:rFonts w:ascii="Verdana" w:hAnsi="Verdana"/>
          <w:sz w:val="20"/>
          <w:szCs w:val="20"/>
        </w:rPr>
      </w:pPr>
      <w:r w:rsidRPr="002205C6">
        <w:rPr>
          <w:rFonts w:ascii="Verdana" w:hAnsi="Verdana"/>
          <w:sz w:val="20"/>
          <w:szCs w:val="20"/>
        </w:rPr>
        <w:t>E</w:t>
      </w:r>
      <w:r w:rsidR="00EF1D81" w:rsidRPr="002205C6">
        <w:rPr>
          <w:rFonts w:ascii="Verdana" w:hAnsi="Verdana"/>
          <w:sz w:val="20"/>
          <w:szCs w:val="20"/>
        </w:rPr>
        <w:t>quity and recruitment</w:t>
      </w:r>
    </w:p>
    <w:p w:rsidR="0037264D" w:rsidRPr="002205C6" w:rsidRDefault="0037264D" w:rsidP="006004D7">
      <w:pPr>
        <w:pStyle w:val="ListParagraph"/>
        <w:numPr>
          <w:ilvl w:val="1"/>
          <w:numId w:val="3"/>
        </w:numPr>
        <w:spacing w:after="0" w:line="240" w:lineRule="auto"/>
        <w:ind w:left="851" w:hanging="284"/>
        <w:rPr>
          <w:rFonts w:ascii="Verdana" w:hAnsi="Verdana"/>
          <w:sz w:val="20"/>
          <w:szCs w:val="20"/>
        </w:rPr>
      </w:pPr>
      <w:r w:rsidRPr="002205C6">
        <w:rPr>
          <w:rFonts w:ascii="Verdana" w:hAnsi="Verdana"/>
          <w:sz w:val="20"/>
          <w:szCs w:val="20"/>
        </w:rPr>
        <w:t>Introduction to equity</w:t>
      </w:r>
    </w:p>
    <w:p w:rsidR="0037264D" w:rsidRPr="002205C6" w:rsidRDefault="0037264D" w:rsidP="006004D7">
      <w:pPr>
        <w:pStyle w:val="ListParagraph"/>
        <w:numPr>
          <w:ilvl w:val="1"/>
          <w:numId w:val="3"/>
        </w:numPr>
        <w:spacing w:after="0" w:line="240" w:lineRule="auto"/>
        <w:ind w:left="851" w:hanging="284"/>
        <w:rPr>
          <w:rFonts w:ascii="Verdana" w:hAnsi="Verdana"/>
          <w:sz w:val="20"/>
          <w:szCs w:val="20"/>
        </w:rPr>
      </w:pPr>
      <w:r w:rsidRPr="002205C6">
        <w:rPr>
          <w:rFonts w:ascii="Verdana" w:hAnsi="Verdana"/>
          <w:sz w:val="20"/>
          <w:szCs w:val="20"/>
        </w:rPr>
        <w:t>Unconscious bias</w:t>
      </w:r>
    </w:p>
    <w:p w:rsidR="004D5A2C" w:rsidRPr="002205C6" w:rsidRDefault="004D5A2C" w:rsidP="004A591A">
      <w:pPr>
        <w:pStyle w:val="ListParagraph"/>
        <w:numPr>
          <w:ilvl w:val="0"/>
          <w:numId w:val="38"/>
        </w:numPr>
        <w:spacing w:after="0" w:line="240" w:lineRule="auto"/>
        <w:ind w:left="284" w:hanging="284"/>
        <w:rPr>
          <w:rFonts w:ascii="Verdana" w:hAnsi="Verdana"/>
          <w:sz w:val="20"/>
          <w:szCs w:val="20"/>
        </w:rPr>
      </w:pPr>
      <w:r w:rsidRPr="002205C6">
        <w:rPr>
          <w:rFonts w:ascii="Verdana" w:hAnsi="Verdana"/>
          <w:sz w:val="20"/>
          <w:szCs w:val="20"/>
        </w:rPr>
        <w:t>Staff seminars</w:t>
      </w:r>
      <w:r w:rsidR="00FA7A3E" w:rsidRPr="002205C6">
        <w:rPr>
          <w:rFonts w:ascii="Verdana" w:hAnsi="Verdana"/>
          <w:sz w:val="20"/>
          <w:szCs w:val="20"/>
        </w:rPr>
        <w:t xml:space="preserve"> were</w:t>
      </w:r>
      <w:r w:rsidRPr="002205C6">
        <w:rPr>
          <w:rFonts w:ascii="Verdana" w:hAnsi="Verdana"/>
          <w:sz w:val="20"/>
          <w:szCs w:val="20"/>
        </w:rPr>
        <w:t xml:space="preserve"> provided on eldercare and supporting teenagers</w:t>
      </w:r>
    </w:p>
    <w:p w:rsidR="002B587A" w:rsidRPr="002205C6" w:rsidRDefault="002B587A" w:rsidP="002B587A">
      <w:pPr>
        <w:pStyle w:val="ListParagraph"/>
        <w:numPr>
          <w:ilvl w:val="0"/>
          <w:numId w:val="3"/>
        </w:numPr>
        <w:spacing w:after="0"/>
        <w:ind w:left="284" w:hanging="284"/>
        <w:rPr>
          <w:rFonts w:ascii="Verdana" w:hAnsi="Verdana"/>
          <w:sz w:val="20"/>
          <w:szCs w:val="20"/>
        </w:rPr>
      </w:pPr>
      <w:r w:rsidRPr="002205C6">
        <w:rPr>
          <w:rFonts w:ascii="Verdana" w:hAnsi="Verdana"/>
          <w:sz w:val="20"/>
          <w:szCs w:val="20"/>
        </w:rPr>
        <w:t>Equity briefings were provided to doctoral students</w:t>
      </w:r>
    </w:p>
    <w:p w:rsidR="0037264D" w:rsidRPr="002205C6" w:rsidRDefault="00A647BC" w:rsidP="00AD7BAE">
      <w:pPr>
        <w:pStyle w:val="ListParagraph"/>
        <w:numPr>
          <w:ilvl w:val="0"/>
          <w:numId w:val="3"/>
        </w:numPr>
        <w:spacing w:after="0" w:line="240" w:lineRule="auto"/>
        <w:ind w:left="284" w:hanging="284"/>
        <w:rPr>
          <w:rFonts w:ascii="Verdana" w:hAnsi="Verdana"/>
          <w:sz w:val="20"/>
          <w:szCs w:val="20"/>
        </w:rPr>
      </w:pPr>
      <w:r w:rsidRPr="002205C6">
        <w:rPr>
          <w:rFonts w:ascii="Verdana" w:hAnsi="Verdana"/>
          <w:sz w:val="20"/>
          <w:szCs w:val="20"/>
        </w:rPr>
        <w:t>Collaboration with</w:t>
      </w:r>
      <w:r w:rsidRPr="002205C6">
        <w:rPr>
          <w:rFonts w:ascii="Verdana" w:hAnsi="Verdana"/>
          <w:sz w:val="20"/>
          <w:szCs w:val="20"/>
        </w:rPr>
        <w:t xml:space="preserve"> AUSA to promote </w:t>
      </w:r>
      <w:r w:rsidR="0037264D" w:rsidRPr="002205C6">
        <w:rPr>
          <w:rFonts w:ascii="Verdana" w:hAnsi="Verdana"/>
          <w:sz w:val="20"/>
          <w:szCs w:val="20"/>
        </w:rPr>
        <w:t>Equity</w:t>
      </w:r>
      <w:r w:rsidR="00EF1D81" w:rsidRPr="002205C6">
        <w:rPr>
          <w:rFonts w:ascii="Verdana" w:hAnsi="Verdana"/>
          <w:sz w:val="20"/>
          <w:szCs w:val="20"/>
        </w:rPr>
        <w:t>, Family Violence, Zero Tolerance</w:t>
      </w:r>
      <w:r w:rsidR="0037264D" w:rsidRPr="002205C6">
        <w:rPr>
          <w:rFonts w:ascii="Verdana" w:hAnsi="Verdana"/>
          <w:sz w:val="20"/>
          <w:szCs w:val="20"/>
        </w:rPr>
        <w:t xml:space="preserve"> and LGBTI </w:t>
      </w:r>
      <w:r w:rsidR="00EF1D81" w:rsidRPr="002205C6">
        <w:rPr>
          <w:rFonts w:ascii="Verdana" w:hAnsi="Verdana"/>
          <w:sz w:val="20"/>
          <w:szCs w:val="20"/>
        </w:rPr>
        <w:t>material</w:t>
      </w:r>
      <w:r w:rsidRPr="002205C6">
        <w:rPr>
          <w:rFonts w:ascii="Verdana" w:hAnsi="Verdana"/>
          <w:sz w:val="20"/>
          <w:szCs w:val="20"/>
        </w:rPr>
        <w:t xml:space="preserve"> through digital and hard copy communications</w:t>
      </w:r>
      <w:r w:rsidR="00EF1D81" w:rsidRPr="002205C6">
        <w:rPr>
          <w:rFonts w:ascii="Verdana" w:hAnsi="Verdana"/>
          <w:sz w:val="20"/>
          <w:szCs w:val="20"/>
        </w:rPr>
        <w:t xml:space="preserve"> </w:t>
      </w:r>
    </w:p>
    <w:p w:rsidR="009720B8" w:rsidRPr="002205C6" w:rsidRDefault="009720B8" w:rsidP="009720B8">
      <w:pPr>
        <w:pStyle w:val="ListParagraph"/>
        <w:numPr>
          <w:ilvl w:val="0"/>
          <w:numId w:val="3"/>
        </w:numPr>
        <w:spacing w:after="0"/>
        <w:ind w:left="284" w:hanging="284"/>
        <w:rPr>
          <w:rFonts w:ascii="Verdana" w:hAnsi="Verdana"/>
          <w:sz w:val="20"/>
          <w:szCs w:val="20"/>
        </w:rPr>
      </w:pPr>
      <w:r w:rsidRPr="002205C6">
        <w:rPr>
          <w:rFonts w:ascii="Verdana" w:hAnsi="Verdana"/>
          <w:sz w:val="20"/>
          <w:szCs w:val="20"/>
        </w:rPr>
        <w:t>PVC Equity represents the UoA on</w:t>
      </w:r>
      <w:r w:rsidR="00A647BC" w:rsidRPr="002205C6">
        <w:rPr>
          <w:rFonts w:ascii="Verdana" w:hAnsi="Verdana"/>
          <w:sz w:val="20"/>
          <w:szCs w:val="20"/>
        </w:rPr>
        <w:t xml:space="preserve"> the</w:t>
      </w:r>
      <w:r w:rsidRPr="002205C6">
        <w:rPr>
          <w:rFonts w:ascii="Verdana" w:hAnsi="Verdana"/>
          <w:sz w:val="20"/>
          <w:szCs w:val="20"/>
        </w:rPr>
        <w:t xml:space="preserve"> Universities New Zealand working group on sexual violence.</w:t>
      </w:r>
    </w:p>
    <w:p w:rsidR="007B6840" w:rsidRDefault="00913BC1" w:rsidP="00A84B66">
      <w:pPr>
        <w:spacing w:after="0"/>
      </w:pPr>
      <w:r w:rsidRPr="00913BC1">
        <w:rPr>
          <w:rFonts w:ascii="Verdana" w:eastAsiaTheme="minorEastAsia" w:hAnsi="Verdana"/>
          <w:i/>
          <w:color w:val="365F91" w:themeColor="accent1" w:themeShade="BF"/>
          <w:lang w:val="en-NZ" w:eastAsia="zh-TW"/>
        </w:rPr>
        <w:lastRenderedPageBreak/>
        <w:t>Key objective 2:</w:t>
      </w:r>
      <w:r w:rsidR="007B6840" w:rsidRPr="007B6840">
        <w:t xml:space="preserve"> </w:t>
      </w:r>
    </w:p>
    <w:p w:rsidR="007850CB" w:rsidRDefault="007850CB" w:rsidP="00913BC1">
      <w:pPr>
        <w:rPr>
          <w:rFonts w:ascii="Verdana" w:eastAsiaTheme="minorEastAsia" w:hAnsi="Verdana"/>
          <w:b/>
          <w:color w:val="365F91" w:themeColor="accent1" w:themeShade="BF"/>
          <w:lang w:val="en-NZ" w:eastAsia="zh-TW"/>
        </w:rPr>
      </w:pPr>
      <w:r w:rsidRPr="007B6840">
        <w:rPr>
          <w:rFonts w:ascii="Verdana" w:eastAsiaTheme="minorEastAsia" w:hAnsi="Verdana"/>
          <w:b/>
          <w:color w:val="365F91" w:themeColor="accent1" w:themeShade="BF"/>
          <w:lang w:val="en-NZ" w:eastAsia="zh-TW"/>
        </w:rPr>
        <w:t>Contribute to increasing participation of</w:t>
      </w:r>
      <w:r>
        <w:rPr>
          <w:rFonts w:ascii="Verdana" w:eastAsiaTheme="minorEastAsia" w:hAnsi="Verdana"/>
          <w:b/>
          <w:color w:val="365F91" w:themeColor="accent1" w:themeShade="BF"/>
          <w:lang w:val="en-NZ" w:eastAsia="zh-TW"/>
        </w:rPr>
        <w:t xml:space="preserve"> students and staff who are</w:t>
      </w:r>
      <w:r w:rsidRPr="007B6840">
        <w:rPr>
          <w:rFonts w:ascii="Verdana" w:eastAsiaTheme="minorEastAsia" w:hAnsi="Verdana"/>
          <w:b/>
          <w:color w:val="365F91" w:themeColor="accent1" w:themeShade="BF"/>
          <w:lang w:val="en-NZ" w:eastAsia="zh-TW"/>
        </w:rPr>
        <w:t xml:space="preserve"> Māori and </w:t>
      </w:r>
      <w:r>
        <w:rPr>
          <w:rFonts w:ascii="Verdana" w:eastAsiaTheme="minorEastAsia" w:hAnsi="Verdana"/>
          <w:b/>
          <w:color w:val="365F91" w:themeColor="accent1" w:themeShade="BF"/>
          <w:lang w:val="en-NZ" w:eastAsia="zh-TW"/>
        </w:rPr>
        <w:t xml:space="preserve">from </w:t>
      </w:r>
      <w:r w:rsidR="00135621">
        <w:rPr>
          <w:rFonts w:ascii="Verdana" w:eastAsiaTheme="minorEastAsia" w:hAnsi="Verdana"/>
          <w:b/>
          <w:color w:val="365F91" w:themeColor="accent1" w:themeShade="BF"/>
          <w:lang w:val="en-NZ" w:eastAsia="zh-TW"/>
        </w:rPr>
        <w:t>e</w:t>
      </w:r>
      <w:r w:rsidRPr="007B6840">
        <w:rPr>
          <w:rFonts w:ascii="Verdana" w:eastAsiaTheme="minorEastAsia" w:hAnsi="Verdana"/>
          <w:b/>
          <w:color w:val="365F91" w:themeColor="accent1" w:themeShade="BF"/>
          <w:lang w:val="en-NZ" w:eastAsia="zh-TW"/>
        </w:rPr>
        <w:t>quity groups</w:t>
      </w:r>
    </w:p>
    <w:p w:rsidR="00913BC1" w:rsidRDefault="00D607E5" w:rsidP="00B114DC">
      <w:pPr>
        <w:spacing w:after="0"/>
        <w:rPr>
          <w:rFonts w:ascii="Verdana" w:eastAsiaTheme="minorEastAsia" w:hAnsi="Verdana"/>
          <w:color w:val="365F91" w:themeColor="accent1" w:themeShade="BF"/>
          <w:lang w:val="en-NZ" w:eastAsia="zh-TW"/>
        </w:rPr>
      </w:pPr>
      <w:r>
        <w:rPr>
          <w:rFonts w:ascii="Verdana" w:eastAsiaTheme="minorEastAsia" w:hAnsi="Verdana"/>
          <w:color w:val="365F91" w:themeColor="accent1" w:themeShade="BF"/>
          <w:lang w:val="en-NZ" w:eastAsia="zh-TW"/>
        </w:rPr>
        <w:t xml:space="preserve">Achievements: </w:t>
      </w:r>
    </w:p>
    <w:p w:rsidR="007B6840" w:rsidRDefault="007B6840" w:rsidP="007B6840">
      <w:pPr>
        <w:numPr>
          <w:ilvl w:val="0"/>
          <w:numId w:val="6"/>
        </w:numPr>
        <w:spacing w:after="240" w:line="240" w:lineRule="auto"/>
        <w:ind w:left="284" w:hanging="284"/>
        <w:rPr>
          <w:rFonts w:ascii="Verdana" w:hAnsi="Verdana" w:cs="Times New Roman"/>
          <w:sz w:val="20"/>
          <w:lang w:val="en-NZ"/>
        </w:rPr>
      </w:pPr>
      <w:r w:rsidRPr="007B6840">
        <w:rPr>
          <w:rFonts w:ascii="Verdana" w:hAnsi="Verdana" w:cs="Times New Roman"/>
          <w:sz w:val="20"/>
          <w:lang w:val="en-NZ"/>
        </w:rPr>
        <w:t>Satisfaction measures are high for outreach to M</w:t>
      </w:r>
      <w:r w:rsidR="0013723E">
        <w:rPr>
          <w:rFonts w:ascii="Verdana" w:hAnsi="Verdana" w:cs="Times New Roman"/>
          <w:sz w:val="20"/>
          <w:lang w:val="en-NZ"/>
        </w:rPr>
        <w:t>ā</w:t>
      </w:r>
      <w:r w:rsidRPr="007B6840">
        <w:rPr>
          <w:rFonts w:ascii="Verdana" w:hAnsi="Verdana" w:cs="Times New Roman"/>
          <w:sz w:val="20"/>
          <w:lang w:val="en-NZ"/>
        </w:rPr>
        <w:t>ori and equity group</w:t>
      </w:r>
      <w:r w:rsidR="00362F93">
        <w:rPr>
          <w:rFonts w:ascii="Verdana" w:hAnsi="Verdana" w:cs="Times New Roman"/>
          <w:sz w:val="20"/>
          <w:lang w:val="en-NZ"/>
        </w:rPr>
        <w:t xml:space="preserve"> students</w:t>
      </w:r>
      <w:r w:rsidR="00E90D51">
        <w:rPr>
          <w:rFonts w:ascii="Verdana" w:hAnsi="Verdana" w:cs="Times New Roman"/>
          <w:sz w:val="20"/>
          <w:lang w:val="en-NZ"/>
        </w:rPr>
        <w:t>.</w:t>
      </w:r>
    </w:p>
    <w:p w:rsidR="001B6CEC" w:rsidRPr="001B6CEC" w:rsidRDefault="001B6CEC" w:rsidP="00B114DC">
      <w:pPr>
        <w:spacing w:after="0" w:line="240" w:lineRule="auto"/>
        <w:rPr>
          <w:rFonts w:ascii="Verdana" w:hAnsi="Verdana"/>
          <w:sz w:val="20"/>
          <w:szCs w:val="20"/>
          <w:lang w:eastAsia="zh-TW"/>
        </w:rPr>
      </w:pPr>
      <w:r>
        <w:rPr>
          <w:rFonts w:ascii="Verdana" w:hAnsi="Verdana"/>
          <w:color w:val="365F91" w:themeColor="accent1" w:themeShade="BF"/>
          <w:lang w:eastAsia="zh-TW"/>
        </w:rPr>
        <w:t>C</w:t>
      </w:r>
      <w:r w:rsidRPr="00D607E5">
        <w:rPr>
          <w:rFonts w:ascii="Verdana" w:hAnsi="Verdana"/>
          <w:color w:val="365F91" w:themeColor="accent1" w:themeShade="BF"/>
          <w:lang w:eastAsia="zh-TW"/>
        </w:rPr>
        <w:t>hallenges:</w:t>
      </w:r>
    </w:p>
    <w:p w:rsidR="00DD4014" w:rsidRDefault="00362F93" w:rsidP="00B114DC">
      <w:pPr>
        <w:numPr>
          <w:ilvl w:val="0"/>
          <w:numId w:val="6"/>
        </w:numPr>
        <w:spacing w:after="0" w:line="240" w:lineRule="auto"/>
        <w:ind w:left="284" w:hanging="284"/>
        <w:rPr>
          <w:rFonts w:ascii="Verdana" w:hAnsi="Verdana" w:cs="Times New Roman"/>
          <w:sz w:val="20"/>
          <w:lang w:val="en-NZ"/>
        </w:rPr>
      </w:pPr>
      <w:r>
        <w:rPr>
          <w:rFonts w:ascii="Verdana" w:hAnsi="Verdana" w:cs="Times New Roman"/>
          <w:sz w:val="20"/>
          <w:lang w:val="en-NZ"/>
        </w:rPr>
        <w:t xml:space="preserve">Increasing </w:t>
      </w:r>
      <w:r w:rsidRPr="007B6840">
        <w:rPr>
          <w:rFonts w:ascii="Verdana" w:hAnsi="Verdana" w:cs="Times New Roman"/>
          <w:sz w:val="20"/>
          <w:lang w:val="en-NZ"/>
        </w:rPr>
        <w:t>competition</w:t>
      </w:r>
      <w:r w:rsidR="007B6840" w:rsidRPr="007B6840">
        <w:rPr>
          <w:rFonts w:ascii="Verdana" w:hAnsi="Verdana" w:cs="Times New Roman"/>
          <w:sz w:val="20"/>
          <w:lang w:val="en-NZ"/>
        </w:rPr>
        <w:t xml:space="preserve"> between tertiary providers</w:t>
      </w:r>
      <w:r w:rsidR="00BB1043">
        <w:rPr>
          <w:rFonts w:ascii="Verdana" w:hAnsi="Verdana" w:cs="Times New Roman"/>
          <w:sz w:val="20"/>
          <w:lang w:val="en-NZ"/>
        </w:rPr>
        <w:t>,</w:t>
      </w:r>
      <w:r w:rsidR="007B6840" w:rsidRPr="007B6840">
        <w:rPr>
          <w:rFonts w:ascii="Verdana" w:hAnsi="Verdana" w:cs="Times New Roman"/>
          <w:sz w:val="20"/>
          <w:lang w:val="en-NZ"/>
        </w:rPr>
        <w:t xml:space="preserve"> </w:t>
      </w:r>
      <w:r>
        <w:rPr>
          <w:rFonts w:ascii="Verdana" w:hAnsi="Verdana" w:cs="Times New Roman"/>
          <w:sz w:val="20"/>
          <w:lang w:val="en-NZ"/>
        </w:rPr>
        <w:t xml:space="preserve">including </w:t>
      </w:r>
      <w:r w:rsidR="007B6840" w:rsidRPr="007B6840">
        <w:rPr>
          <w:rFonts w:ascii="Verdana" w:hAnsi="Verdana" w:cs="Times New Roman"/>
          <w:sz w:val="20"/>
          <w:lang w:val="en-NZ"/>
        </w:rPr>
        <w:t>for M</w:t>
      </w:r>
      <w:r w:rsidR="0013723E">
        <w:rPr>
          <w:rFonts w:ascii="Verdana" w:hAnsi="Verdana" w:cs="Times New Roman"/>
          <w:sz w:val="20"/>
          <w:lang w:val="en-NZ"/>
        </w:rPr>
        <w:t>ā</w:t>
      </w:r>
      <w:r w:rsidR="007B6840" w:rsidRPr="007B6840">
        <w:rPr>
          <w:rFonts w:ascii="Verdana" w:hAnsi="Verdana" w:cs="Times New Roman"/>
          <w:sz w:val="20"/>
          <w:lang w:val="en-NZ"/>
        </w:rPr>
        <w:t>ori and Pacific students</w:t>
      </w:r>
    </w:p>
    <w:p w:rsidR="00DD1378" w:rsidRDefault="00DD1378" w:rsidP="00B114DC">
      <w:pPr>
        <w:numPr>
          <w:ilvl w:val="0"/>
          <w:numId w:val="6"/>
        </w:numPr>
        <w:spacing w:after="0" w:line="240" w:lineRule="auto"/>
        <w:ind w:left="284" w:hanging="284"/>
        <w:rPr>
          <w:rFonts w:ascii="Verdana" w:hAnsi="Verdana" w:cs="Times New Roman"/>
          <w:sz w:val="20"/>
          <w:lang w:val="en-NZ"/>
        </w:rPr>
      </w:pPr>
      <w:r w:rsidRPr="00DD4014">
        <w:rPr>
          <w:rFonts w:ascii="Verdana" w:hAnsi="Verdana" w:cs="Times New Roman"/>
          <w:sz w:val="20"/>
          <w:lang w:val="en-NZ"/>
        </w:rPr>
        <w:t>Increasing the number of M</w:t>
      </w:r>
      <w:r w:rsidR="00DD4014" w:rsidRPr="00DD4014">
        <w:rPr>
          <w:rFonts w:ascii="Verdana" w:hAnsi="Verdana" w:cs="Times New Roman"/>
          <w:sz w:val="20"/>
          <w:lang w:val="en-NZ"/>
        </w:rPr>
        <w:t>ā</w:t>
      </w:r>
      <w:r w:rsidR="001F1AB0">
        <w:rPr>
          <w:rFonts w:ascii="Verdana" w:hAnsi="Verdana" w:cs="Times New Roman"/>
          <w:sz w:val="20"/>
          <w:lang w:val="en-NZ"/>
        </w:rPr>
        <w:t xml:space="preserve">ori, </w:t>
      </w:r>
      <w:r w:rsidRPr="00DD4014">
        <w:rPr>
          <w:rFonts w:ascii="Verdana" w:hAnsi="Verdana" w:cs="Times New Roman"/>
          <w:sz w:val="20"/>
          <w:lang w:val="en-NZ"/>
        </w:rPr>
        <w:t>Paci</w:t>
      </w:r>
      <w:r w:rsidR="0011400C" w:rsidRPr="00DD4014">
        <w:rPr>
          <w:rFonts w:ascii="Verdana" w:hAnsi="Verdana" w:cs="Times New Roman"/>
          <w:sz w:val="20"/>
          <w:lang w:val="en-NZ"/>
        </w:rPr>
        <w:t>fic</w:t>
      </w:r>
      <w:r w:rsidR="001B6CEC">
        <w:rPr>
          <w:rFonts w:ascii="Verdana" w:hAnsi="Verdana" w:cs="Times New Roman"/>
          <w:sz w:val="20"/>
          <w:lang w:val="en-NZ"/>
        </w:rPr>
        <w:t xml:space="preserve"> and women</w:t>
      </w:r>
      <w:r w:rsidR="0011400C" w:rsidRPr="00DD4014">
        <w:rPr>
          <w:rFonts w:ascii="Verdana" w:hAnsi="Verdana" w:cs="Times New Roman"/>
          <w:sz w:val="20"/>
          <w:lang w:val="en-NZ"/>
        </w:rPr>
        <w:t xml:space="preserve"> students and staff in</w:t>
      </w:r>
      <w:r w:rsidR="00DD4014">
        <w:rPr>
          <w:rFonts w:ascii="Verdana" w:hAnsi="Verdana" w:cs="Times New Roman"/>
          <w:sz w:val="20"/>
          <w:lang w:val="en-NZ"/>
        </w:rPr>
        <w:t xml:space="preserve"> areas of STEMM </w:t>
      </w:r>
    </w:p>
    <w:p w:rsidR="003218B9" w:rsidRPr="00D607E5" w:rsidRDefault="00882FA0" w:rsidP="00913BC1">
      <w:pPr>
        <w:numPr>
          <w:ilvl w:val="0"/>
          <w:numId w:val="6"/>
        </w:numPr>
        <w:spacing w:after="240" w:line="240" w:lineRule="auto"/>
        <w:ind w:left="284" w:hanging="284"/>
        <w:rPr>
          <w:rFonts w:ascii="Verdana" w:hAnsi="Verdana" w:cs="Times New Roman"/>
          <w:sz w:val="20"/>
          <w:lang w:val="en-NZ"/>
        </w:rPr>
      </w:pPr>
      <w:r>
        <w:rPr>
          <w:rFonts w:ascii="Verdana" w:hAnsi="Verdana" w:cs="Times New Roman"/>
          <w:sz w:val="20"/>
          <w:lang w:val="en-NZ"/>
        </w:rPr>
        <w:t>Perceptions of Auckl</w:t>
      </w:r>
      <w:r w:rsidR="001D11EC">
        <w:rPr>
          <w:rFonts w:ascii="Verdana" w:hAnsi="Verdana" w:cs="Times New Roman"/>
          <w:sz w:val="20"/>
          <w:lang w:val="en-NZ"/>
        </w:rPr>
        <w:t>and impact</w:t>
      </w:r>
      <w:r w:rsidR="00623253">
        <w:rPr>
          <w:rFonts w:ascii="Verdana" w:hAnsi="Verdana" w:cs="Times New Roman"/>
          <w:sz w:val="20"/>
          <w:lang w:val="en-NZ"/>
        </w:rPr>
        <w:t xml:space="preserve"> on</w:t>
      </w:r>
      <w:r w:rsidR="001D11EC">
        <w:rPr>
          <w:rFonts w:ascii="Verdana" w:hAnsi="Verdana" w:cs="Times New Roman"/>
          <w:sz w:val="20"/>
          <w:lang w:val="en-NZ"/>
        </w:rPr>
        <w:t xml:space="preserve"> recruitment</w:t>
      </w:r>
      <w:r w:rsidR="00E90D51">
        <w:rPr>
          <w:rFonts w:ascii="Verdana" w:hAnsi="Verdana" w:cs="Times New Roman"/>
          <w:sz w:val="20"/>
          <w:lang w:val="en-NZ"/>
        </w:rPr>
        <w:t>.</w:t>
      </w:r>
    </w:p>
    <w:p w:rsidR="00913BC1" w:rsidRDefault="00913BC1" w:rsidP="00B114DC">
      <w:pPr>
        <w:spacing w:after="0"/>
        <w:rPr>
          <w:rFonts w:ascii="Verdana" w:eastAsiaTheme="minorEastAsia" w:hAnsi="Verdana"/>
          <w:color w:val="365F91" w:themeColor="accent1" w:themeShade="BF"/>
          <w:lang w:val="en-NZ" w:eastAsia="zh-TW"/>
        </w:rPr>
      </w:pPr>
      <w:r w:rsidRPr="00913BC1">
        <w:rPr>
          <w:rFonts w:ascii="Verdana" w:eastAsiaTheme="minorEastAsia" w:hAnsi="Verdana"/>
          <w:color w:val="365F91" w:themeColor="accent1" w:themeShade="BF"/>
          <w:lang w:val="en-NZ" w:eastAsia="zh-TW"/>
        </w:rPr>
        <w:t>Strategic initiatives:</w:t>
      </w:r>
    </w:p>
    <w:p w:rsidR="001B6CEC" w:rsidRDefault="007B6840" w:rsidP="00B114DC">
      <w:pPr>
        <w:numPr>
          <w:ilvl w:val="0"/>
          <w:numId w:val="7"/>
        </w:numPr>
        <w:spacing w:after="0" w:line="240" w:lineRule="auto"/>
        <w:ind w:left="284" w:hanging="284"/>
        <w:rPr>
          <w:rFonts w:ascii="Verdana" w:hAnsi="Verdana" w:cs="Times New Roman"/>
          <w:sz w:val="20"/>
          <w:lang w:val="en-NZ"/>
        </w:rPr>
      </w:pPr>
      <w:r w:rsidRPr="007B6840">
        <w:rPr>
          <w:rFonts w:ascii="Verdana" w:hAnsi="Verdana" w:cs="Times New Roman"/>
          <w:sz w:val="20"/>
          <w:lang w:val="en-NZ"/>
        </w:rPr>
        <w:t>Increase</w:t>
      </w:r>
      <w:r w:rsidR="00B114DC">
        <w:rPr>
          <w:rFonts w:ascii="Verdana" w:hAnsi="Verdana" w:cs="Times New Roman"/>
          <w:sz w:val="20"/>
          <w:lang w:val="en-NZ"/>
        </w:rPr>
        <w:t>d benefits</w:t>
      </w:r>
      <w:r w:rsidRPr="007B6840">
        <w:rPr>
          <w:rFonts w:ascii="Verdana" w:hAnsi="Verdana" w:cs="Times New Roman"/>
          <w:sz w:val="20"/>
          <w:lang w:val="en-NZ"/>
        </w:rPr>
        <w:t xml:space="preserve"> emphasis within outreach events </w:t>
      </w:r>
    </w:p>
    <w:p w:rsidR="00B259DA" w:rsidRPr="001B6CEC" w:rsidRDefault="007B6840" w:rsidP="001B6CEC">
      <w:pPr>
        <w:numPr>
          <w:ilvl w:val="0"/>
          <w:numId w:val="7"/>
        </w:numPr>
        <w:spacing w:after="240" w:line="240" w:lineRule="auto"/>
        <w:ind w:left="284" w:hanging="284"/>
        <w:rPr>
          <w:rFonts w:ascii="Verdana" w:hAnsi="Verdana" w:cs="Times New Roman"/>
          <w:sz w:val="20"/>
          <w:lang w:val="en-NZ"/>
        </w:rPr>
      </w:pPr>
      <w:r w:rsidRPr="001B6CEC">
        <w:rPr>
          <w:rFonts w:ascii="Verdana" w:hAnsi="Verdana" w:cs="Times New Roman"/>
          <w:sz w:val="20"/>
          <w:lang w:val="en-NZ"/>
        </w:rPr>
        <w:t>Develop</w:t>
      </w:r>
      <w:r w:rsidR="00BB1043">
        <w:rPr>
          <w:rFonts w:ascii="Verdana" w:hAnsi="Verdana" w:cs="Times New Roman"/>
          <w:sz w:val="20"/>
          <w:lang w:val="en-NZ"/>
        </w:rPr>
        <w:t>ing</w:t>
      </w:r>
      <w:r w:rsidR="00043EA7">
        <w:rPr>
          <w:rFonts w:ascii="Verdana" w:hAnsi="Verdana" w:cs="Times New Roman"/>
          <w:sz w:val="20"/>
          <w:lang w:val="en-NZ"/>
        </w:rPr>
        <w:t xml:space="preserve"> a</w:t>
      </w:r>
      <w:r w:rsidRPr="001B6CEC">
        <w:rPr>
          <w:rFonts w:ascii="Verdana" w:hAnsi="Verdana" w:cs="Times New Roman"/>
          <w:sz w:val="20"/>
          <w:lang w:val="en-NZ"/>
        </w:rPr>
        <w:t xml:space="preserve"> suite of information and guidance</w:t>
      </w:r>
      <w:r w:rsidR="002F60EB" w:rsidRPr="001B6CEC">
        <w:rPr>
          <w:rFonts w:ascii="Verdana" w:hAnsi="Verdana" w:cs="Times New Roman"/>
          <w:sz w:val="20"/>
          <w:lang w:val="en-NZ"/>
        </w:rPr>
        <w:t xml:space="preserve"> materials</w:t>
      </w:r>
      <w:r w:rsidR="005F7CC4" w:rsidRPr="001B6CEC">
        <w:rPr>
          <w:rFonts w:ascii="Verdana" w:hAnsi="Verdana" w:cs="Times New Roman"/>
          <w:sz w:val="20"/>
          <w:lang w:val="en-NZ"/>
        </w:rPr>
        <w:t xml:space="preserve"> </w:t>
      </w:r>
      <w:r w:rsidRPr="001B6CEC">
        <w:rPr>
          <w:rFonts w:ascii="Verdana" w:hAnsi="Verdana" w:cs="Times New Roman"/>
          <w:sz w:val="20"/>
          <w:lang w:val="en-NZ"/>
        </w:rPr>
        <w:t>on leadership and development o</w:t>
      </w:r>
      <w:r w:rsidR="00DD1378" w:rsidRPr="001B6CEC">
        <w:rPr>
          <w:rFonts w:ascii="Verdana" w:hAnsi="Verdana" w:cs="Times New Roman"/>
          <w:sz w:val="20"/>
          <w:lang w:val="en-NZ"/>
        </w:rPr>
        <w:t xml:space="preserve">pportunities for </w:t>
      </w:r>
      <w:r w:rsidR="001D11EC" w:rsidRPr="001B6CEC">
        <w:rPr>
          <w:rFonts w:ascii="Verdana" w:hAnsi="Verdana" w:cs="Times New Roman"/>
          <w:sz w:val="20"/>
          <w:lang w:val="en-NZ"/>
        </w:rPr>
        <w:t>M</w:t>
      </w:r>
      <w:r w:rsidR="001B6CEC" w:rsidRPr="001B6CEC">
        <w:rPr>
          <w:rFonts w:ascii="Verdana" w:hAnsi="Verdana" w:cs="Times New Roman"/>
          <w:sz w:val="20"/>
          <w:lang w:val="en-NZ"/>
        </w:rPr>
        <w:t>ā</w:t>
      </w:r>
      <w:r w:rsidR="001F1AB0">
        <w:rPr>
          <w:rFonts w:ascii="Verdana" w:hAnsi="Verdana" w:cs="Times New Roman"/>
          <w:sz w:val="20"/>
          <w:lang w:val="en-NZ"/>
        </w:rPr>
        <w:t xml:space="preserve">ori, </w:t>
      </w:r>
      <w:r w:rsidR="001B6CEC" w:rsidRPr="001B6CEC">
        <w:rPr>
          <w:rFonts w:ascii="Verdana" w:hAnsi="Verdana" w:cs="Times New Roman"/>
          <w:sz w:val="20"/>
          <w:lang w:val="en-NZ"/>
        </w:rPr>
        <w:t xml:space="preserve">Pacific and women and staff </w:t>
      </w:r>
      <w:r w:rsidR="00690E59">
        <w:rPr>
          <w:rFonts w:ascii="Verdana" w:hAnsi="Verdana" w:cs="Times New Roman"/>
          <w:sz w:val="20"/>
          <w:lang w:val="en-NZ"/>
        </w:rPr>
        <w:t>in STEMM</w:t>
      </w:r>
      <w:r w:rsidR="00E90D51">
        <w:rPr>
          <w:rFonts w:ascii="Verdana" w:hAnsi="Verdana" w:cs="Times New Roman"/>
          <w:sz w:val="20"/>
          <w:lang w:val="en-NZ"/>
        </w:rPr>
        <w:t>.</w:t>
      </w:r>
    </w:p>
    <w:p w:rsidR="00913BC1" w:rsidRPr="00913BC1" w:rsidRDefault="007B6840" w:rsidP="00B114DC">
      <w:pPr>
        <w:spacing w:after="0"/>
        <w:rPr>
          <w:rFonts w:ascii="Verdana" w:eastAsiaTheme="minorEastAsia" w:hAnsi="Verdana"/>
          <w:color w:val="365F91" w:themeColor="accent1" w:themeShade="BF"/>
          <w:lang w:val="en-NZ" w:eastAsia="zh-TW"/>
        </w:rPr>
      </w:pPr>
      <w:r>
        <w:rPr>
          <w:rFonts w:ascii="Verdana" w:eastAsiaTheme="minorEastAsia" w:hAnsi="Verdana"/>
          <w:color w:val="365F91" w:themeColor="accent1" w:themeShade="BF"/>
          <w:lang w:val="en-NZ" w:eastAsia="zh-TW"/>
        </w:rPr>
        <w:t>KPIs</w:t>
      </w:r>
      <w:r w:rsidR="00913BC1" w:rsidRPr="00913BC1">
        <w:rPr>
          <w:rFonts w:ascii="Verdana" w:eastAsiaTheme="minorEastAsia" w:hAnsi="Verdana"/>
          <w:color w:val="365F91" w:themeColor="accent1" w:themeShade="BF"/>
          <w:lang w:val="en-NZ" w:eastAsia="zh-TW"/>
        </w:rPr>
        <w:t>:</w:t>
      </w:r>
    </w:p>
    <w:p w:rsidR="0011400C" w:rsidRDefault="002F60EB" w:rsidP="00B114DC">
      <w:pPr>
        <w:numPr>
          <w:ilvl w:val="0"/>
          <w:numId w:val="7"/>
        </w:numPr>
        <w:spacing w:after="0" w:line="240" w:lineRule="auto"/>
        <w:ind w:left="284" w:hanging="284"/>
        <w:rPr>
          <w:rFonts w:ascii="Verdana" w:hAnsi="Verdana" w:cs="Times New Roman"/>
          <w:sz w:val="20"/>
          <w:lang w:val="en-NZ"/>
        </w:rPr>
      </w:pPr>
      <w:r>
        <w:rPr>
          <w:rFonts w:ascii="Verdana" w:hAnsi="Verdana" w:cs="Times New Roman"/>
          <w:sz w:val="20"/>
          <w:lang w:val="en-NZ"/>
        </w:rPr>
        <w:t>Increase</w:t>
      </w:r>
      <w:r w:rsidR="007638C1">
        <w:rPr>
          <w:rFonts w:ascii="Verdana" w:hAnsi="Verdana" w:cs="Times New Roman"/>
          <w:sz w:val="20"/>
          <w:lang w:val="en-NZ"/>
        </w:rPr>
        <w:t>d</w:t>
      </w:r>
      <w:r>
        <w:rPr>
          <w:rFonts w:ascii="Verdana" w:hAnsi="Verdana" w:cs="Times New Roman"/>
          <w:sz w:val="20"/>
          <w:lang w:val="en-NZ"/>
        </w:rPr>
        <w:t xml:space="preserve"> the percentage</w:t>
      </w:r>
      <w:r w:rsidR="007B6840" w:rsidRPr="007B6840">
        <w:rPr>
          <w:rFonts w:ascii="Verdana" w:hAnsi="Verdana" w:cs="Times New Roman"/>
          <w:sz w:val="20"/>
          <w:lang w:val="en-NZ"/>
        </w:rPr>
        <w:t xml:space="preserve"> of Māori and Pacific students attending Equity Office outreach events who indicate they will apply to study at the UoA </w:t>
      </w:r>
    </w:p>
    <w:p w:rsidR="001B6CEC" w:rsidRDefault="001B6CEC" w:rsidP="0011400C">
      <w:pPr>
        <w:numPr>
          <w:ilvl w:val="0"/>
          <w:numId w:val="7"/>
        </w:numPr>
        <w:spacing w:after="0" w:line="240" w:lineRule="auto"/>
        <w:ind w:left="284" w:hanging="284"/>
        <w:rPr>
          <w:rFonts w:ascii="Verdana" w:hAnsi="Verdana" w:cs="Times New Roman"/>
          <w:sz w:val="20"/>
          <w:lang w:val="en-NZ"/>
        </w:rPr>
      </w:pPr>
      <w:r>
        <w:rPr>
          <w:rFonts w:ascii="Verdana" w:hAnsi="Verdana" w:cs="Times New Roman"/>
          <w:sz w:val="20"/>
          <w:lang w:val="en-NZ"/>
        </w:rPr>
        <w:t>Develop</w:t>
      </w:r>
      <w:r w:rsidR="007638C1">
        <w:rPr>
          <w:rFonts w:ascii="Verdana" w:hAnsi="Verdana" w:cs="Times New Roman"/>
          <w:sz w:val="20"/>
          <w:lang w:val="en-NZ"/>
        </w:rPr>
        <w:t>ed</w:t>
      </w:r>
      <w:r w:rsidR="007B3BB3">
        <w:rPr>
          <w:rFonts w:ascii="Verdana" w:hAnsi="Verdana" w:cs="Times New Roman"/>
          <w:sz w:val="20"/>
          <w:lang w:val="en-NZ"/>
        </w:rPr>
        <w:t>,</w:t>
      </w:r>
      <w:r w:rsidR="00043EA7">
        <w:rPr>
          <w:rFonts w:ascii="Verdana" w:hAnsi="Verdana" w:cs="Times New Roman"/>
          <w:sz w:val="20"/>
          <w:lang w:val="en-NZ"/>
        </w:rPr>
        <w:t xml:space="preserve"> </w:t>
      </w:r>
      <w:r>
        <w:rPr>
          <w:rFonts w:ascii="Verdana" w:hAnsi="Verdana" w:cs="Times New Roman"/>
          <w:sz w:val="20"/>
          <w:lang w:val="en-NZ"/>
        </w:rPr>
        <w:t>launch</w:t>
      </w:r>
      <w:r w:rsidR="007638C1">
        <w:rPr>
          <w:rFonts w:ascii="Verdana" w:hAnsi="Verdana" w:cs="Times New Roman"/>
          <w:sz w:val="20"/>
          <w:lang w:val="en-NZ"/>
        </w:rPr>
        <w:t>ed</w:t>
      </w:r>
      <w:r w:rsidR="007B3BB3">
        <w:rPr>
          <w:rFonts w:ascii="Verdana" w:hAnsi="Verdana" w:cs="Times New Roman"/>
          <w:sz w:val="20"/>
          <w:lang w:val="en-NZ"/>
        </w:rPr>
        <w:t xml:space="preserve"> and promote</w:t>
      </w:r>
      <w:r w:rsidR="007638C1">
        <w:rPr>
          <w:rFonts w:ascii="Verdana" w:hAnsi="Verdana" w:cs="Times New Roman"/>
          <w:sz w:val="20"/>
          <w:lang w:val="en-NZ"/>
        </w:rPr>
        <w:t>d</w:t>
      </w:r>
      <w:r>
        <w:rPr>
          <w:rFonts w:ascii="Verdana" w:hAnsi="Verdana" w:cs="Times New Roman"/>
          <w:sz w:val="20"/>
          <w:lang w:val="en-NZ"/>
        </w:rPr>
        <w:t xml:space="preserve"> materials to support the promotion of STEMM pathwa</w:t>
      </w:r>
      <w:r w:rsidR="00C10136">
        <w:rPr>
          <w:rFonts w:ascii="Verdana" w:hAnsi="Verdana" w:cs="Times New Roman"/>
          <w:sz w:val="20"/>
          <w:lang w:val="en-NZ"/>
        </w:rPr>
        <w:t>ys for Maori, Pacific and women</w:t>
      </w:r>
      <w:r w:rsidR="00E90D51">
        <w:rPr>
          <w:rFonts w:ascii="Verdana" w:hAnsi="Verdana" w:cs="Times New Roman"/>
          <w:sz w:val="20"/>
          <w:lang w:val="en-NZ"/>
        </w:rPr>
        <w:t>.</w:t>
      </w:r>
    </w:p>
    <w:p w:rsidR="0011400C" w:rsidRDefault="0011400C" w:rsidP="005B2DAF">
      <w:pPr>
        <w:spacing w:after="0" w:line="240" w:lineRule="auto"/>
        <w:rPr>
          <w:rFonts w:ascii="Verdana" w:hAnsi="Verdana" w:cs="Times New Roman"/>
          <w:sz w:val="20"/>
          <w:lang w:val="en-NZ"/>
        </w:rPr>
      </w:pPr>
    </w:p>
    <w:p w:rsidR="005B2DAF" w:rsidRDefault="005B2DAF" w:rsidP="00B114DC">
      <w:pPr>
        <w:spacing w:after="0"/>
        <w:rPr>
          <w:rFonts w:ascii="Verdana" w:eastAsiaTheme="minorEastAsia" w:hAnsi="Verdana"/>
          <w:color w:val="365F91" w:themeColor="accent1" w:themeShade="BF"/>
          <w:lang w:val="en-NZ" w:eastAsia="zh-TW"/>
        </w:rPr>
      </w:pPr>
      <w:r>
        <w:rPr>
          <w:rFonts w:ascii="Verdana" w:eastAsiaTheme="minorEastAsia" w:hAnsi="Verdana"/>
          <w:color w:val="365F91" w:themeColor="accent1" w:themeShade="BF"/>
          <w:lang w:val="en-NZ" w:eastAsia="zh-TW"/>
        </w:rPr>
        <w:t>Update</w:t>
      </w:r>
      <w:r w:rsidRPr="00913BC1">
        <w:rPr>
          <w:rFonts w:ascii="Verdana" w:eastAsiaTheme="minorEastAsia" w:hAnsi="Verdana"/>
          <w:color w:val="365F91" w:themeColor="accent1" w:themeShade="BF"/>
          <w:lang w:val="en-NZ" w:eastAsia="zh-TW"/>
        </w:rPr>
        <w:t>:</w:t>
      </w:r>
    </w:p>
    <w:p w:rsidR="001024B5" w:rsidRDefault="001024B5" w:rsidP="001024B5">
      <w:pPr>
        <w:pStyle w:val="ListParagraph"/>
        <w:numPr>
          <w:ilvl w:val="0"/>
          <w:numId w:val="37"/>
        </w:numPr>
        <w:ind w:left="284" w:hanging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</w:t>
      </w:r>
      <w:r w:rsidR="005B2DAF" w:rsidRPr="001024B5">
        <w:rPr>
          <w:rFonts w:ascii="Verdana" w:hAnsi="Verdana"/>
          <w:sz w:val="20"/>
          <w:szCs w:val="20"/>
        </w:rPr>
        <w:t>ngage</w:t>
      </w:r>
      <w:r w:rsidR="00B11D9E">
        <w:rPr>
          <w:rFonts w:ascii="Verdana" w:hAnsi="Verdana"/>
          <w:sz w:val="20"/>
          <w:szCs w:val="20"/>
        </w:rPr>
        <w:t>d</w:t>
      </w:r>
      <w:r w:rsidR="005B2DAF" w:rsidRPr="001024B5">
        <w:rPr>
          <w:rFonts w:ascii="Verdana" w:hAnsi="Verdana"/>
          <w:sz w:val="20"/>
          <w:szCs w:val="20"/>
        </w:rPr>
        <w:t xml:space="preserve"> with key stakeholders to develop an internship programme for grad</w:t>
      </w:r>
      <w:r w:rsidR="009A361C" w:rsidRPr="001024B5">
        <w:rPr>
          <w:rFonts w:ascii="Verdana" w:hAnsi="Verdana"/>
          <w:sz w:val="20"/>
          <w:szCs w:val="20"/>
        </w:rPr>
        <w:t>uate students with disabilities</w:t>
      </w:r>
    </w:p>
    <w:p w:rsidR="00AA36F5" w:rsidRPr="00BB550B" w:rsidRDefault="00B11D9E" w:rsidP="00AA36F5">
      <w:pPr>
        <w:pStyle w:val="ListParagraph"/>
        <w:numPr>
          <w:ilvl w:val="0"/>
          <w:numId w:val="37"/>
        </w:numPr>
        <w:ind w:left="284" w:hanging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Held e</w:t>
      </w:r>
      <w:r w:rsidR="005B2DAF" w:rsidRPr="0096039F">
        <w:rPr>
          <w:rFonts w:ascii="Verdana" w:hAnsi="Verdana"/>
          <w:sz w:val="20"/>
          <w:szCs w:val="20"/>
        </w:rPr>
        <w:t xml:space="preserve">vents to provide information and encourage Māori, Pacific and Students from Refugee Backgrounds </w:t>
      </w:r>
      <w:r w:rsidR="001024B5" w:rsidRPr="0096039F">
        <w:rPr>
          <w:rFonts w:ascii="Verdana" w:hAnsi="Verdana"/>
          <w:sz w:val="20"/>
          <w:szCs w:val="20"/>
        </w:rPr>
        <w:t>to attend the UoA</w:t>
      </w:r>
      <w:r w:rsidR="00CD7AFE">
        <w:rPr>
          <w:rFonts w:ascii="Verdana" w:hAnsi="Verdana"/>
          <w:sz w:val="20"/>
          <w:szCs w:val="20"/>
        </w:rPr>
        <w:t xml:space="preserve">  </w:t>
      </w:r>
    </w:p>
    <w:p w:rsidR="001024B5" w:rsidRPr="0096039F" w:rsidRDefault="001024B5" w:rsidP="003C2373">
      <w:pPr>
        <w:pStyle w:val="ListParagraph"/>
        <w:numPr>
          <w:ilvl w:val="0"/>
          <w:numId w:val="37"/>
        </w:numPr>
        <w:ind w:left="284" w:hanging="284"/>
        <w:rPr>
          <w:rFonts w:ascii="Verdana" w:hAnsi="Verdana"/>
          <w:sz w:val="20"/>
          <w:szCs w:val="20"/>
        </w:rPr>
      </w:pPr>
      <w:r w:rsidRPr="0096039F">
        <w:rPr>
          <w:rFonts w:ascii="Verdana" w:hAnsi="Verdana"/>
          <w:sz w:val="20"/>
          <w:szCs w:val="20"/>
        </w:rPr>
        <w:t>D</w:t>
      </w:r>
      <w:r w:rsidR="005B2DAF" w:rsidRPr="0096039F">
        <w:rPr>
          <w:rFonts w:ascii="Verdana" w:hAnsi="Verdana"/>
          <w:sz w:val="20"/>
          <w:szCs w:val="20"/>
        </w:rPr>
        <w:t>evelop</w:t>
      </w:r>
      <w:r w:rsidR="00B11D9E">
        <w:rPr>
          <w:rFonts w:ascii="Verdana" w:hAnsi="Verdana"/>
          <w:sz w:val="20"/>
          <w:szCs w:val="20"/>
        </w:rPr>
        <w:t>ed</w:t>
      </w:r>
      <w:r w:rsidR="005B2DAF" w:rsidRPr="0096039F">
        <w:rPr>
          <w:rFonts w:ascii="Verdana" w:hAnsi="Verdana"/>
          <w:sz w:val="20"/>
          <w:szCs w:val="20"/>
        </w:rPr>
        <w:t xml:space="preserve"> </w:t>
      </w:r>
      <w:r w:rsidR="00E5309A">
        <w:rPr>
          <w:rFonts w:ascii="Verdana" w:hAnsi="Verdana"/>
          <w:sz w:val="20"/>
          <w:szCs w:val="20"/>
        </w:rPr>
        <w:t xml:space="preserve">and significantly enhanced </w:t>
      </w:r>
      <w:r w:rsidR="005B2DAF" w:rsidRPr="0096039F">
        <w:rPr>
          <w:rFonts w:ascii="Verdana" w:hAnsi="Verdana"/>
          <w:sz w:val="20"/>
          <w:szCs w:val="20"/>
        </w:rPr>
        <w:t>the Māori</w:t>
      </w:r>
      <w:r w:rsidRPr="0096039F">
        <w:rPr>
          <w:rFonts w:ascii="Verdana" w:hAnsi="Verdana"/>
          <w:sz w:val="20"/>
          <w:szCs w:val="20"/>
        </w:rPr>
        <w:t xml:space="preserve"> </w:t>
      </w:r>
      <w:r w:rsidR="006925BE">
        <w:rPr>
          <w:rFonts w:ascii="Verdana" w:hAnsi="Verdana"/>
          <w:sz w:val="20"/>
          <w:szCs w:val="20"/>
        </w:rPr>
        <w:t>and Pacific</w:t>
      </w:r>
      <w:r w:rsidR="00E5309A">
        <w:rPr>
          <w:rFonts w:ascii="Verdana" w:hAnsi="Verdana"/>
          <w:sz w:val="20"/>
          <w:szCs w:val="20"/>
        </w:rPr>
        <w:t xml:space="preserve"> student</w:t>
      </w:r>
      <w:r w:rsidR="006925BE">
        <w:rPr>
          <w:rFonts w:ascii="Verdana" w:hAnsi="Verdana"/>
          <w:sz w:val="20"/>
          <w:szCs w:val="20"/>
        </w:rPr>
        <w:t xml:space="preserve"> </w:t>
      </w:r>
      <w:r w:rsidRPr="0096039F">
        <w:rPr>
          <w:rFonts w:ascii="Verdana" w:hAnsi="Verdana"/>
          <w:sz w:val="20"/>
          <w:szCs w:val="20"/>
        </w:rPr>
        <w:t>prospectus</w:t>
      </w:r>
      <w:r w:rsidR="006925BE">
        <w:rPr>
          <w:rFonts w:ascii="Verdana" w:hAnsi="Verdana"/>
          <w:sz w:val="20"/>
          <w:szCs w:val="20"/>
        </w:rPr>
        <w:t>es</w:t>
      </w:r>
    </w:p>
    <w:p w:rsidR="001024B5" w:rsidRDefault="001024B5" w:rsidP="001024B5">
      <w:pPr>
        <w:pStyle w:val="ListParagraph"/>
        <w:numPr>
          <w:ilvl w:val="0"/>
          <w:numId w:val="37"/>
        </w:numPr>
        <w:ind w:left="284" w:hanging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</w:t>
      </w:r>
      <w:r w:rsidR="005B2DAF" w:rsidRPr="001024B5">
        <w:rPr>
          <w:rFonts w:ascii="Verdana" w:hAnsi="Verdana"/>
          <w:sz w:val="20"/>
          <w:szCs w:val="20"/>
        </w:rPr>
        <w:t>epresent</w:t>
      </w:r>
      <w:r w:rsidR="00B11D9E">
        <w:rPr>
          <w:rFonts w:ascii="Verdana" w:hAnsi="Verdana"/>
          <w:sz w:val="20"/>
          <w:szCs w:val="20"/>
        </w:rPr>
        <w:t>ed</w:t>
      </w:r>
      <w:r w:rsidR="005B2DAF" w:rsidRPr="001024B5">
        <w:rPr>
          <w:rFonts w:ascii="Verdana" w:hAnsi="Verdana"/>
          <w:sz w:val="20"/>
          <w:szCs w:val="20"/>
        </w:rPr>
        <w:t xml:space="preserve"> Māori and equity group interests in scholars</w:t>
      </w:r>
      <w:r w:rsidR="009A361C" w:rsidRPr="001024B5">
        <w:rPr>
          <w:rFonts w:ascii="Verdana" w:hAnsi="Verdana"/>
          <w:sz w:val="20"/>
          <w:szCs w:val="20"/>
        </w:rPr>
        <w:t>hip design and implementation</w:t>
      </w:r>
    </w:p>
    <w:p w:rsidR="00D330E7" w:rsidRDefault="00D330E7" w:rsidP="00D330E7">
      <w:pPr>
        <w:pStyle w:val="ListParagraph"/>
        <w:numPr>
          <w:ilvl w:val="0"/>
          <w:numId w:val="37"/>
        </w:numPr>
        <w:ind w:left="284" w:hanging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</w:t>
      </w:r>
      <w:r w:rsidRPr="001024B5">
        <w:rPr>
          <w:rFonts w:ascii="Verdana" w:hAnsi="Verdana"/>
          <w:sz w:val="20"/>
          <w:szCs w:val="20"/>
        </w:rPr>
        <w:t>pdate</w:t>
      </w:r>
      <w:r>
        <w:rPr>
          <w:rFonts w:ascii="Verdana" w:hAnsi="Verdana"/>
          <w:sz w:val="20"/>
          <w:szCs w:val="20"/>
        </w:rPr>
        <w:t>d</w:t>
      </w:r>
      <w:r w:rsidRPr="001024B5">
        <w:rPr>
          <w:rFonts w:ascii="Verdana" w:hAnsi="Verdana"/>
          <w:sz w:val="20"/>
          <w:szCs w:val="20"/>
        </w:rPr>
        <w:t xml:space="preserve"> the UoA Equity Policy</w:t>
      </w:r>
    </w:p>
    <w:p w:rsidR="00D330E7" w:rsidRDefault="00D330E7" w:rsidP="00D330E7">
      <w:pPr>
        <w:pStyle w:val="ListParagraph"/>
        <w:numPr>
          <w:ilvl w:val="0"/>
          <w:numId w:val="37"/>
        </w:numPr>
        <w:ind w:left="284" w:hanging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Coordinated and supported</w:t>
      </w:r>
      <w:r w:rsidRPr="001024B5">
        <w:rPr>
          <w:rFonts w:ascii="Verdana" w:hAnsi="Verdana"/>
          <w:sz w:val="20"/>
          <w:szCs w:val="20"/>
        </w:rPr>
        <w:t xml:space="preserve"> the LGBTI Network, Students from Refugee Backgrounds Advisory </w:t>
      </w:r>
      <w:r w:rsidRPr="001024B5">
        <w:rPr>
          <w:rFonts w:ascii="Verdana" w:hAnsi="Verdana"/>
          <w:sz w:val="20"/>
          <w:szCs w:val="20"/>
        </w:rPr>
        <w:t xml:space="preserve">Group, UTAS Community of Interest, Equity Community of Interest </w:t>
      </w:r>
    </w:p>
    <w:p w:rsidR="004D5A2C" w:rsidRDefault="004D5A2C" w:rsidP="004D5A2C">
      <w:pPr>
        <w:pStyle w:val="ListParagraph"/>
        <w:numPr>
          <w:ilvl w:val="0"/>
          <w:numId w:val="37"/>
        </w:numPr>
        <w:ind w:left="284" w:hanging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</w:t>
      </w:r>
      <w:r w:rsidRPr="001024B5">
        <w:rPr>
          <w:rFonts w:ascii="Verdana" w:hAnsi="Verdana"/>
          <w:sz w:val="20"/>
          <w:szCs w:val="20"/>
        </w:rPr>
        <w:t>omen and gender equity webpage now includes a section on increasing equity in leadership and gover</w:t>
      </w:r>
      <w:r>
        <w:rPr>
          <w:rFonts w:ascii="Verdana" w:hAnsi="Verdana"/>
          <w:sz w:val="20"/>
          <w:szCs w:val="20"/>
        </w:rPr>
        <w:t>n</w:t>
      </w:r>
      <w:r w:rsidRPr="001024B5">
        <w:rPr>
          <w:rFonts w:ascii="Verdana" w:hAnsi="Verdana"/>
          <w:sz w:val="20"/>
          <w:szCs w:val="20"/>
        </w:rPr>
        <w:t>ance</w:t>
      </w:r>
      <w:r w:rsidR="00473BEF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which is of particular relevance to influencing decision-making in STEM</w:t>
      </w:r>
      <w:r w:rsidR="002E583B">
        <w:rPr>
          <w:rFonts w:ascii="Verdana" w:hAnsi="Verdana"/>
          <w:sz w:val="20"/>
          <w:szCs w:val="20"/>
        </w:rPr>
        <w:t>M</w:t>
      </w:r>
    </w:p>
    <w:p w:rsidR="00D21926" w:rsidRDefault="00D21926" w:rsidP="00D21926">
      <w:pPr>
        <w:pStyle w:val="ListParagraph"/>
        <w:numPr>
          <w:ilvl w:val="0"/>
          <w:numId w:val="37"/>
        </w:numPr>
        <w:ind w:left="284" w:hanging="284"/>
        <w:rPr>
          <w:rFonts w:ascii="Verdana" w:hAnsi="Verdana"/>
          <w:sz w:val="20"/>
          <w:szCs w:val="20"/>
        </w:rPr>
      </w:pPr>
      <w:r w:rsidRPr="001024B5">
        <w:rPr>
          <w:rFonts w:ascii="Verdana" w:hAnsi="Verdana"/>
          <w:sz w:val="20"/>
          <w:szCs w:val="20"/>
        </w:rPr>
        <w:t>Developing information and guidance on leadership and development opportunities</w:t>
      </w:r>
      <w:r>
        <w:rPr>
          <w:rFonts w:ascii="Verdana" w:hAnsi="Verdana"/>
          <w:sz w:val="20"/>
          <w:szCs w:val="20"/>
        </w:rPr>
        <w:t xml:space="preserve"> for</w:t>
      </w:r>
      <w:r w:rsidRPr="001024B5">
        <w:rPr>
          <w:rFonts w:ascii="Verdana" w:hAnsi="Verdana"/>
          <w:sz w:val="20"/>
          <w:szCs w:val="20"/>
        </w:rPr>
        <w:t xml:space="preserve"> Māori, Pacific and women and staff in STEM</w:t>
      </w:r>
      <w:r>
        <w:rPr>
          <w:rFonts w:ascii="Verdana" w:hAnsi="Verdana"/>
          <w:sz w:val="20"/>
          <w:szCs w:val="20"/>
        </w:rPr>
        <w:t>M</w:t>
      </w:r>
    </w:p>
    <w:p w:rsidR="004D5A2C" w:rsidRDefault="004D5A2C" w:rsidP="004D5A2C">
      <w:pPr>
        <w:pStyle w:val="ListParagraph"/>
        <w:numPr>
          <w:ilvl w:val="0"/>
          <w:numId w:val="37"/>
        </w:numPr>
        <w:ind w:left="284" w:hanging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On-going engagement with stakeholders within the </w:t>
      </w:r>
      <w:r w:rsidR="000A41E9">
        <w:rPr>
          <w:rFonts w:ascii="Verdana" w:hAnsi="Verdana"/>
          <w:sz w:val="20"/>
          <w:szCs w:val="20"/>
        </w:rPr>
        <w:t>UoA</w:t>
      </w:r>
      <w:r>
        <w:rPr>
          <w:rFonts w:ascii="Verdana" w:hAnsi="Verdana"/>
          <w:sz w:val="20"/>
          <w:szCs w:val="20"/>
        </w:rPr>
        <w:t>, nationally and internationally to advance gender equity and women in STEMM</w:t>
      </w:r>
    </w:p>
    <w:p w:rsidR="004A11CF" w:rsidRDefault="00003C6E" w:rsidP="004A11CF">
      <w:pPr>
        <w:pStyle w:val="ListParagraph"/>
        <w:numPr>
          <w:ilvl w:val="0"/>
          <w:numId w:val="37"/>
        </w:numPr>
        <w:ind w:left="284" w:hanging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Developing a policy and guidance on trans participation in sport</w:t>
      </w:r>
    </w:p>
    <w:p w:rsidR="004A11CF" w:rsidRDefault="004A11CF" w:rsidP="004A11CF">
      <w:pPr>
        <w:pStyle w:val="ListParagraph"/>
        <w:numPr>
          <w:ilvl w:val="0"/>
          <w:numId w:val="37"/>
        </w:numPr>
        <w:ind w:left="284" w:hanging="284"/>
        <w:rPr>
          <w:rFonts w:ascii="Verdana" w:hAnsi="Verdana"/>
          <w:sz w:val="20"/>
          <w:szCs w:val="20"/>
        </w:rPr>
      </w:pPr>
      <w:r w:rsidRPr="004A11CF">
        <w:rPr>
          <w:rFonts w:ascii="Verdana" w:hAnsi="Verdana"/>
          <w:sz w:val="20"/>
          <w:szCs w:val="20"/>
        </w:rPr>
        <w:t>Developing a business case for the</w:t>
      </w:r>
      <w:r w:rsidRPr="004A11CF">
        <w:rPr>
          <w:rFonts w:ascii="Verdana" w:hAnsi="Verdana"/>
          <w:sz w:val="20"/>
          <w:szCs w:val="20"/>
        </w:rPr>
        <w:t xml:space="preserve"> collection of LGBTI and </w:t>
      </w:r>
      <w:r w:rsidR="00CA2B24">
        <w:rPr>
          <w:rFonts w:ascii="Verdana" w:hAnsi="Verdana"/>
          <w:sz w:val="20"/>
          <w:szCs w:val="20"/>
        </w:rPr>
        <w:t>students from refugee background</w:t>
      </w:r>
      <w:r w:rsidRPr="004A11CF">
        <w:rPr>
          <w:rFonts w:ascii="Verdana" w:hAnsi="Verdana"/>
          <w:sz w:val="20"/>
          <w:szCs w:val="20"/>
        </w:rPr>
        <w:t xml:space="preserve"> data, and non-binary reporting</w:t>
      </w:r>
    </w:p>
    <w:p w:rsidR="006925BE" w:rsidRPr="004A11CF" w:rsidRDefault="006925BE" w:rsidP="006925BE">
      <w:pPr>
        <w:pStyle w:val="ListParagraph"/>
        <w:numPr>
          <w:ilvl w:val="0"/>
          <w:numId w:val="37"/>
        </w:numPr>
        <w:ind w:left="284" w:hanging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Supporting the establishment of a students from refugee background club</w:t>
      </w:r>
      <w:r w:rsidR="00414B39">
        <w:rPr>
          <w:rFonts w:ascii="Verdana" w:hAnsi="Verdana"/>
          <w:sz w:val="20"/>
          <w:szCs w:val="20"/>
        </w:rPr>
        <w:t>.</w:t>
      </w:r>
    </w:p>
    <w:p w:rsidR="004A11CF" w:rsidRPr="001024B5" w:rsidRDefault="004A11CF" w:rsidP="00A84B66">
      <w:pPr>
        <w:pStyle w:val="ListParagraph"/>
        <w:spacing w:after="0"/>
        <w:ind w:left="284"/>
        <w:rPr>
          <w:rFonts w:ascii="Verdana" w:hAnsi="Verdana"/>
          <w:sz w:val="20"/>
          <w:szCs w:val="20"/>
        </w:rPr>
      </w:pPr>
    </w:p>
    <w:p w:rsidR="007B6840" w:rsidRDefault="00913BC1" w:rsidP="00A84B66">
      <w:pPr>
        <w:spacing w:after="0"/>
      </w:pPr>
      <w:r w:rsidRPr="00913BC1">
        <w:rPr>
          <w:rFonts w:ascii="Verdana" w:eastAsiaTheme="minorEastAsia" w:hAnsi="Verdana"/>
          <w:i/>
          <w:color w:val="365F91" w:themeColor="accent1" w:themeShade="BF"/>
          <w:lang w:val="en-NZ" w:eastAsia="zh-TW"/>
        </w:rPr>
        <w:t>Key objective 3:</w:t>
      </w:r>
      <w:r w:rsidR="007B6840" w:rsidRPr="007B6840">
        <w:t xml:space="preserve"> </w:t>
      </w:r>
    </w:p>
    <w:p w:rsidR="00913BC1" w:rsidRPr="00F948FC" w:rsidRDefault="007B6840" w:rsidP="00913BC1">
      <w:pPr>
        <w:rPr>
          <w:rFonts w:ascii="Verdana" w:eastAsiaTheme="minorEastAsia" w:hAnsi="Verdana"/>
          <w:b/>
          <w:color w:val="365F91" w:themeColor="accent1" w:themeShade="BF"/>
          <w:lang w:val="en-NZ" w:eastAsia="zh-TW"/>
        </w:rPr>
      </w:pPr>
      <w:r w:rsidRPr="00F948FC">
        <w:rPr>
          <w:rFonts w:ascii="Verdana" w:eastAsiaTheme="minorEastAsia" w:hAnsi="Verdana"/>
          <w:b/>
          <w:color w:val="365F91" w:themeColor="accent1" w:themeShade="BF"/>
          <w:lang w:val="en-NZ" w:eastAsia="zh-TW"/>
        </w:rPr>
        <w:t xml:space="preserve">Enhancing support for Māori, Pacific and </w:t>
      </w:r>
      <w:r w:rsidR="005F7CC4">
        <w:rPr>
          <w:rFonts w:ascii="Verdana" w:eastAsiaTheme="minorEastAsia" w:hAnsi="Verdana"/>
          <w:b/>
          <w:color w:val="365F91" w:themeColor="accent1" w:themeShade="BF"/>
          <w:lang w:val="en-NZ" w:eastAsia="zh-TW"/>
        </w:rPr>
        <w:t>S</w:t>
      </w:r>
      <w:r w:rsidRPr="00F948FC">
        <w:rPr>
          <w:rFonts w:ascii="Verdana" w:eastAsiaTheme="minorEastAsia" w:hAnsi="Verdana"/>
          <w:b/>
          <w:color w:val="365F91" w:themeColor="accent1" w:themeShade="BF"/>
          <w:lang w:val="en-NZ" w:eastAsia="zh-TW"/>
        </w:rPr>
        <w:t>tudents</w:t>
      </w:r>
      <w:r w:rsidR="0011400C">
        <w:rPr>
          <w:rFonts w:ascii="Verdana" w:eastAsiaTheme="minorEastAsia" w:hAnsi="Verdana"/>
          <w:b/>
          <w:color w:val="365F91" w:themeColor="accent1" w:themeShade="BF"/>
          <w:lang w:val="en-NZ" w:eastAsia="zh-TW"/>
        </w:rPr>
        <w:t xml:space="preserve"> </w:t>
      </w:r>
      <w:r w:rsidRPr="00F948FC">
        <w:rPr>
          <w:rFonts w:ascii="Verdana" w:eastAsiaTheme="minorEastAsia" w:hAnsi="Verdana"/>
          <w:b/>
          <w:color w:val="365F91" w:themeColor="accent1" w:themeShade="BF"/>
          <w:lang w:val="en-NZ" w:eastAsia="zh-TW"/>
        </w:rPr>
        <w:t>with Disabilities</w:t>
      </w:r>
      <w:r w:rsidR="0011400C">
        <w:rPr>
          <w:rFonts w:ascii="Verdana" w:eastAsiaTheme="minorEastAsia" w:hAnsi="Verdana"/>
          <w:b/>
          <w:color w:val="365F91" w:themeColor="accent1" w:themeShade="BF"/>
          <w:lang w:val="en-NZ" w:eastAsia="zh-TW"/>
        </w:rPr>
        <w:t>’</w:t>
      </w:r>
      <w:r w:rsidRPr="00F948FC">
        <w:rPr>
          <w:rFonts w:ascii="Verdana" w:eastAsiaTheme="minorEastAsia" w:hAnsi="Verdana"/>
          <w:b/>
          <w:color w:val="365F91" w:themeColor="accent1" w:themeShade="BF"/>
          <w:lang w:val="en-NZ" w:eastAsia="zh-TW"/>
        </w:rPr>
        <w:t xml:space="preserve"> retention and success at the UoA</w:t>
      </w:r>
    </w:p>
    <w:p w:rsidR="00913BC1" w:rsidRDefault="001B6CEC" w:rsidP="004A3F75">
      <w:pPr>
        <w:spacing w:after="0"/>
        <w:rPr>
          <w:rFonts w:ascii="Verdana" w:eastAsiaTheme="minorEastAsia" w:hAnsi="Verdana"/>
          <w:color w:val="365F91" w:themeColor="accent1" w:themeShade="BF"/>
          <w:lang w:val="en-NZ" w:eastAsia="zh-TW"/>
        </w:rPr>
      </w:pPr>
      <w:r>
        <w:rPr>
          <w:rFonts w:ascii="Verdana" w:eastAsiaTheme="minorEastAsia" w:hAnsi="Verdana"/>
          <w:color w:val="365F91" w:themeColor="accent1" w:themeShade="BF"/>
          <w:lang w:val="en-NZ" w:eastAsia="zh-TW"/>
        </w:rPr>
        <w:t>A</w:t>
      </w:r>
      <w:r w:rsidR="00913BC1" w:rsidRPr="00913BC1">
        <w:rPr>
          <w:rFonts w:ascii="Verdana" w:eastAsiaTheme="minorEastAsia" w:hAnsi="Verdana"/>
          <w:color w:val="365F91" w:themeColor="accent1" w:themeShade="BF"/>
          <w:lang w:val="en-NZ" w:eastAsia="zh-TW"/>
        </w:rPr>
        <w:t>chievements</w:t>
      </w:r>
      <w:r>
        <w:rPr>
          <w:rFonts w:ascii="Verdana" w:eastAsiaTheme="minorEastAsia" w:hAnsi="Verdana"/>
          <w:color w:val="365F91" w:themeColor="accent1" w:themeShade="BF"/>
          <w:lang w:val="en-NZ" w:eastAsia="zh-TW"/>
        </w:rPr>
        <w:t>:</w:t>
      </w:r>
      <w:r w:rsidR="00913BC1" w:rsidRPr="00913BC1">
        <w:rPr>
          <w:rFonts w:ascii="Verdana" w:eastAsiaTheme="minorEastAsia" w:hAnsi="Verdana"/>
          <w:color w:val="365F91" w:themeColor="accent1" w:themeShade="BF"/>
          <w:lang w:val="en-NZ" w:eastAsia="zh-TW"/>
        </w:rPr>
        <w:t xml:space="preserve"> </w:t>
      </w:r>
    </w:p>
    <w:p w:rsidR="002F60EB" w:rsidRDefault="007B6840" w:rsidP="002F60EB">
      <w:pPr>
        <w:numPr>
          <w:ilvl w:val="0"/>
          <w:numId w:val="8"/>
        </w:numPr>
        <w:spacing w:after="240" w:line="240" w:lineRule="auto"/>
        <w:ind w:left="284" w:hanging="284"/>
        <w:rPr>
          <w:rFonts w:ascii="Verdana" w:hAnsi="Verdana" w:cs="Times New Roman"/>
          <w:sz w:val="20"/>
          <w:lang w:val="en-NZ"/>
        </w:rPr>
      </w:pPr>
      <w:r w:rsidRPr="007B6840">
        <w:rPr>
          <w:rFonts w:ascii="Verdana" w:hAnsi="Verdana" w:cs="Times New Roman"/>
          <w:sz w:val="20"/>
          <w:lang w:val="en-NZ"/>
        </w:rPr>
        <w:t xml:space="preserve">The Equity Office </w:t>
      </w:r>
      <w:r w:rsidR="0011400C">
        <w:rPr>
          <w:rFonts w:ascii="Verdana" w:hAnsi="Verdana" w:cs="Times New Roman"/>
          <w:sz w:val="20"/>
          <w:lang w:val="en-NZ"/>
        </w:rPr>
        <w:t>contributes to the</w:t>
      </w:r>
      <w:r w:rsidR="00B259DA">
        <w:rPr>
          <w:rFonts w:ascii="Verdana" w:hAnsi="Verdana" w:cs="Times New Roman"/>
          <w:sz w:val="20"/>
          <w:lang w:val="en-NZ"/>
        </w:rPr>
        <w:t xml:space="preserve"> retention and</w:t>
      </w:r>
      <w:r w:rsidR="0011400C">
        <w:rPr>
          <w:rFonts w:ascii="Verdana" w:hAnsi="Verdana" w:cs="Times New Roman"/>
          <w:sz w:val="20"/>
          <w:lang w:val="en-NZ"/>
        </w:rPr>
        <w:t xml:space="preserve"> </w:t>
      </w:r>
      <w:r w:rsidR="00B259DA">
        <w:rPr>
          <w:rFonts w:ascii="Verdana" w:hAnsi="Verdana" w:cs="Times New Roman"/>
          <w:sz w:val="20"/>
          <w:lang w:val="en-NZ"/>
        </w:rPr>
        <w:t>success</w:t>
      </w:r>
      <w:r w:rsidRPr="007B6840">
        <w:rPr>
          <w:rFonts w:ascii="Verdana" w:hAnsi="Verdana" w:cs="Times New Roman"/>
          <w:sz w:val="20"/>
          <w:lang w:val="en-NZ"/>
        </w:rPr>
        <w:t xml:space="preserve"> of M</w:t>
      </w:r>
      <w:r w:rsidRPr="007B6840">
        <w:rPr>
          <w:rFonts w:ascii="Verdana" w:hAnsi="Verdana" w:cs="Times New Roman"/>
          <w:sz w:val="20"/>
          <w:szCs w:val="20"/>
          <w:lang w:val="en-NZ"/>
        </w:rPr>
        <w:t>ā</w:t>
      </w:r>
      <w:r w:rsidRPr="007B6840">
        <w:rPr>
          <w:rFonts w:ascii="Verdana" w:hAnsi="Verdana" w:cs="Times New Roman"/>
          <w:sz w:val="20"/>
          <w:lang w:val="en-NZ"/>
        </w:rPr>
        <w:t>ori and equity</w:t>
      </w:r>
      <w:r w:rsidR="009B7F8A">
        <w:rPr>
          <w:rFonts w:ascii="Verdana" w:hAnsi="Verdana" w:cs="Times New Roman"/>
          <w:sz w:val="20"/>
          <w:lang w:val="en-NZ"/>
        </w:rPr>
        <w:t xml:space="preserve"> group</w:t>
      </w:r>
      <w:r w:rsidRPr="007B6840">
        <w:rPr>
          <w:rFonts w:ascii="Verdana" w:hAnsi="Verdana" w:cs="Times New Roman"/>
          <w:sz w:val="20"/>
          <w:lang w:val="en-NZ"/>
        </w:rPr>
        <w:t xml:space="preserve"> students</w:t>
      </w:r>
      <w:r w:rsidR="00E90D51">
        <w:rPr>
          <w:rFonts w:ascii="Verdana" w:hAnsi="Verdana" w:cs="Times New Roman"/>
          <w:sz w:val="20"/>
          <w:lang w:val="en-NZ"/>
        </w:rPr>
        <w:t>.</w:t>
      </w:r>
    </w:p>
    <w:p w:rsidR="001E7090" w:rsidRDefault="001E7090" w:rsidP="004A3F75">
      <w:pPr>
        <w:spacing w:after="0" w:line="240" w:lineRule="auto"/>
        <w:rPr>
          <w:rFonts w:ascii="Verdana" w:hAnsi="Verdana" w:cs="Times New Roman"/>
          <w:sz w:val="20"/>
          <w:lang w:val="en-NZ"/>
        </w:rPr>
      </w:pPr>
      <w:r>
        <w:rPr>
          <w:rFonts w:ascii="Verdana" w:eastAsiaTheme="minorEastAsia" w:hAnsi="Verdana"/>
          <w:color w:val="365F91" w:themeColor="accent1" w:themeShade="BF"/>
          <w:lang w:val="en-NZ" w:eastAsia="zh-TW"/>
        </w:rPr>
        <w:t>C</w:t>
      </w:r>
      <w:r w:rsidRPr="00913BC1">
        <w:rPr>
          <w:rFonts w:ascii="Verdana" w:eastAsiaTheme="minorEastAsia" w:hAnsi="Verdana"/>
          <w:color w:val="365F91" w:themeColor="accent1" w:themeShade="BF"/>
          <w:lang w:val="en-NZ" w:eastAsia="zh-TW"/>
        </w:rPr>
        <w:t>hallenges:</w:t>
      </w:r>
    </w:p>
    <w:p w:rsidR="0011400C" w:rsidRPr="002F60EB" w:rsidRDefault="0011400C" w:rsidP="00003C6E">
      <w:pPr>
        <w:numPr>
          <w:ilvl w:val="0"/>
          <w:numId w:val="8"/>
        </w:numPr>
        <w:spacing w:after="0" w:line="240" w:lineRule="auto"/>
        <w:ind w:left="284" w:hanging="284"/>
        <w:rPr>
          <w:rFonts w:ascii="Verdana" w:hAnsi="Verdana" w:cs="Times New Roman"/>
          <w:sz w:val="20"/>
          <w:lang w:val="en-NZ"/>
        </w:rPr>
      </w:pPr>
      <w:r w:rsidRPr="002F60EB">
        <w:rPr>
          <w:rFonts w:ascii="Verdana" w:hAnsi="Verdana" w:cs="Times New Roman"/>
          <w:sz w:val="20"/>
          <w:lang w:val="en-NZ"/>
        </w:rPr>
        <w:t xml:space="preserve">Uneven success of </w:t>
      </w:r>
      <w:r w:rsidR="002F60EB" w:rsidRPr="002F60EB">
        <w:rPr>
          <w:rFonts w:ascii="Verdana" w:hAnsi="Verdana" w:cs="Times New Roman"/>
          <w:sz w:val="20"/>
          <w:lang w:val="en-NZ"/>
        </w:rPr>
        <w:t xml:space="preserve">Māori </w:t>
      </w:r>
      <w:r w:rsidRPr="002F60EB">
        <w:rPr>
          <w:rFonts w:ascii="Verdana" w:hAnsi="Verdana" w:cs="Times New Roman"/>
          <w:sz w:val="20"/>
          <w:lang w:val="en-NZ"/>
        </w:rPr>
        <w:t>and Pacific student cohorts</w:t>
      </w:r>
    </w:p>
    <w:p w:rsidR="007B6840" w:rsidRPr="007B6840" w:rsidRDefault="002F60EB" w:rsidP="00913BC1">
      <w:pPr>
        <w:numPr>
          <w:ilvl w:val="0"/>
          <w:numId w:val="8"/>
        </w:numPr>
        <w:spacing w:after="240" w:line="240" w:lineRule="auto"/>
        <w:ind w:left="284" w:hanging="284"/>
        <w:rPr>
          <w:rFonts w:ascii="Verdana" w:hAnsi="Verdana" w:cs="Times New Roman"/>
          <w:sz w:val="20"/>
          <w:lang w:val="en-NZ"/>
        </w:rPr>
      </w:pPr>
      <w:r>
        <w:rPr>
          <w:rFonts w:ascii="Verdana" w:hAnsi="Verdana" w:cs="Times New Roman"/>
          <w:sz w:val="20"/>
          <w:lang w:val="en-NZ"/>
        </w:rPr>
        <w:t>Need a more</w:t>
      </w:r>
      <w:r w:rsidR="003D688A">
        <w:rPr>
          <w:rFonts w:ascii="Verdana" w:hAnsi="Verdana" w:cs="Times New Roman"/>
          <w:sz w:val="20"/>
          <w:lang w:val="en-NZ"/>
        </w:rPr>
        <w:t xml:space="preserve"> comprehensive</w:t>
      </w:r>
      <w:r w:rsidR="0011400C">
        <w:rPr>
          <w:rFonts w:ascii="Verdana" w:hAnsi="Verdana" w:cs="Times New Roman"/>
          <w:sz w:val="20"/>
          <w:lang w:val="en-NZ"/>
        </w:rPr>
        <w:t xml:space="preserve"> understanding of the achievement of students with disabilities</w:t>
      </w:r>
      <w:r w:rsidR="00E90D51">
        <w:rPr>
          <w:rFonts w:ascii="Verdana" w:hAnsi="Verdana" w:cs="Times New Roman"/>
          <w:sz w:val="20"/>
          <w:lang w:val="en-NZ"/>
        </w:rPr>
        <w:t>.</w:t>
      </w:r>
      <w:r w:rsidR="0011400C">
        <w:rPr>
          <w:rFonts w:ascii="Verdana" w:hAnsi="Verdana" w:cs="Times New Roman"/>
          <w:sz w:val="20"/>
          <w:lang w:val="en-NZ"/>
        </w:rPr>
        <w:t xml:space="preserve"> </w:t>
      </w:r>
    </w:p>
    <w:p w:rsidR="00913BC1" w:rsidRDefault="00913BC1" w:rsidP="004A3F75">
      <w:pPr>
        <w:spacing w:after="0"/>
        <w:rPr>
          <w:rFonts w:ascii="Verdana" w:eastAsiaTheme="minorEastAsia" w:hAnsi="Verdana"/>
          <w:color w:val="365F91" w:themeColor="accent1" w:themeShade="BF"/>
          <w:lang w:val="en-NZ" w:eastAsia="zh-TW"/>
        </w:rPr>
      </w:pPr>
      <w:r w:rsidRPr="00913BC1">
        <w:rPr>
          <w:rFonts w:ascii="Verdana" w:eastAsiaTheme="minorEastAsia" w:hAnsi="Verdana"/>
          <w:color w:val="365F91" w:themeColor="accent1" w:themeShade="BF"/>
          <w:lang w:val="en-NZ" w:eastAsia="zh-TW"/>
        </w:rPr>
        <w:lastRenderedPageBreak/>
        <w:t>Strategic initiatives:</w:t>
      </w:r>
    </w:p>
    <w:p w:rsidR="007B6840" w:rsidRDefault="001B6CEC" w:rsidP="004A3F75">
      <w:pPr>
        <w:numPr>
          <w:ilvl w:val="0"/>
          <w:numId w:val="7"/>
        </w:numPr>
        <w:spacing w:after="0" w:line="240" w:lineRule="auto"/>
        <w:ind w:left="284" w:hanging="284"/>
        <w:rPr>
          <w:rFonts w:ascii="Verdana" w:hAnsi="Verdana" w:cs="Times New Roman"/>
          <w:sz w:val="20"/>
          <w:lang w:val="en-NZ"/>
        </w:rPr>
      </w:pPr>
      <w:r>
        <w:rPr>
          <w:rFonts w:ascii="Verdana" w:hAnsi="Verdana" w:cs="Times New Roman"/>
          <w:sz w:val="20"/>
          <w:lang w:val="en-NZ"/>
        </w:rPr>
        <w:t xml:space="preserve">Contribute to the provision of data to </w:t>
      </w:r>
      <w:r w:rsidR="007B6840" w:rsidRPr="007B6840">
        <w:rPr>
          <w:rFonts w:ascii="Verdana" w:hAnsi="Verdana" w:cs="Times New Roman"/>
          <w:sz w:val="20"/>
          <w:lang w:val="en-NZ"/>
        </w:rPr>
        <w:t>secondary schools on student cohorts’</w:t>
      </w:r>
      <w:r w:rsidR="00882FA0" w:rsidRPr="00882FA0">
        <w:rPr>
          <w:rFonts w:ascii="Verdana" w:hAnsi="Verdana" w:cs="Times New Roman"/>
          <w:sz w:val="20"/>
          <w:lang w:val="en-NZ"/>
        </w:rPr>
        <w:t xml:space="preserve"> </w:t>
      </w:r>
      <w:r w:rsidR="00882FA0">
        <w:rPr>
          <w:rFonts w:ascii="Verdana" w:hAnsi="Verdana" w:cs="Times New Roman"/>
          <w:sz w:val="20"/>
          <w:lang w:val="en-NZ"/>
        </w:rPr>
        <w:t>with varied preparation</w:t>
      </w:r>
      <w:r w:rsidR="007B6840" w:rsidRPr="007B6840">
        <w:rPr>
          <w:rFonts w:ascii="Verdana" w:hAnsi="Verdana" w:cs="Times New Roman"/>
          <w:sz w:val="20"/>
          <w:lang w:val="en-NZ"/>
        </w:rPr>
        <w:t xml:space="preserve"> traje</w:t>
      </w:r>
      <w:r w:rsidR="0011400C">
        <w:rPr>
          <w:rFonts w:ascii="Verdana" w:hAnsi="Verdana" w:cs="Times New Roman"/>
          <w:sz w:val="20"/>
          <w:lang w:val="en-NZ"/>
        </w:rPr>
        <w:t xml:space="preserve">ctories </w:t>
      </w:r>
      <w:r w:rsidR="00882FA0">
        <w:rPr>
          <w:rFonts w:ascii="Verdana" w:hAnsi="Verdana" w:cs="Times New Roman"/>
          <w:sz w:val="20"/>
          <w:lang w:val="en-NZ"/>
        </w:rPr>
        <w:t xml:space="preserve">at the </w:t>
      </w:r>
      <w:r w:rsidR="00C13CC7">
        <w:rPr>
          <w:rFonts w:ascii="Verdana" w:hAnsi="Verdana" w:cs="Times New Roman"/>
          <w:sz w:val="20"/>
          <w:lang w:val="en-NZ"/>
        </w:rPr>
        <w:t>UoA</w:t>
      </w:r>
    </w:p>
    <w:p w:rsidR="0011400C" w:rsidRPr="007B6840" w:rsidRDefault="001B6CEC" w:rsidP="00913BC1">
      <w:pPr>
        <w:numPr>
          <w:ilvl w:val="0"/>
          <w:numId w:val="7"/>
        </w:numPr>
        <w:spacing w:after="240" w:line="240" w:lineRule="auto"/>
        <w:ind w:left="284" w:hanging="284"/>
        <w:rPr>
          <w:rFonts w:ascii="Verdana" w:hAnsi="Verdana" w:cs="Times New Roman"/>
          <w:sz w:val="20"/>
          <w:lang w:val="en-NZ"/>
        </w:rPr>
      </w:pPr>
      <w:r>
        <w:rPr>
          <w:rFonts w:ascii="Verdana" w:hAnsi="Verdana" w:cs="Times New Roman"/>
          <w:sz w:val="20"/>
          <w:lang w:val="en-NZ"/>
        </w:rPr>
        <w:t xml:space="preserve">Increase </w:t>
      </w:r>
      <w:r w:rsidR="0011400C">
        <w:rPr>
          <w:rFonts w:ascii="Verdana" w:hAnsi="Verdana" w:cs="Times New Roman"/>
          <w:sz w:val="20"/>
          <w:lang w:val="en-NZ"/>
        </w:rPr>
        <w:t xml:space="preserve">awareness of support for retention and success available at the </w:t>
      </w:r>
      <w:r w:rsidR="00C13CC7">
        <w:rPr>
          <w:rFonts w:ascii="Verdana" w:hAnsi="Verdana" w:cs="Times New Roman"/>
          <w:sz w:val="20"/>
          <w:lang w:val="en-NZ"/>
        </w:rPr>
        <w:t>UoA</w:t>
      </w:r>
      <w:r w:rsidR="00E90D51">
        <w:rPr>
          <w:rFonts w:ascii="Verdana" w:hAnsi="Verdana" w:cs="Times New Roman"/>
          <w:sz w:val="20"/>
          <w:lang w:val="en-NZ"/>
        </w:rPr>
        <w:t>.</w:t>
      </w:r>
    </w:p>
    <w:p w:rsidR="00913BC1" w:rsidRPr="00913BC1" w:rsidRDefault="00913BC1" w:rsidP="002C1327">
      <w:pPr>
        <w:spacing w:after="0"/>
        <w:rPr>
          <w:rFonts w:ascii="Verdana" w:eastAsiaTheme="minorEastAsia" w:hAnsi="Verdana"/>
          <w:color w:val="365F91" w:themeColor="accent1" w:themeShade="BF"/>
          <w:lang w:val="en-NZ" w:eastAsia="zh-TW"/>
        </w:rPr>
      </w:pPr>
      <w:r w:rsidRPr="00913BC1">
        <w:rPr>
          <w:rFonts w:ascii="Verdana" w:eastAsiaTheme="minorEastAsia" w:hAnsi="Verdana"/>
          <w:color w:val="365F91" w:themeColor="accent1" w:themeShade="BF"/>
          <w:lang w:val="en-NZ" w:eastAsia="zh-TW"/>
        </w:rPr>
        <w:t>KPI</w:t>
      </w:r>
      <w:r w:rsidR="007B6840">
        <w:rPr>
          <w:rFonts w:ascii="Verdana" w:eastAsiaTheme="minorEastAsia" w:hAnsi="Verdana"/>
          <w:color w:val="365F91" w:themeColor="accent1" w:themeShade="BF"/>
          <w:lang w:val="en-NZ" w:eastAsia="zh-TW"/>
        </w:rPr>
        <w:t>s</w:t>
      </w:r>
      <w:r w:rsidRPr="00913BC1">
        <w:rPr>
          <w:rFonts w:ascii="Verdana" w:eastAsiaTheme="minorEastAsia" w:hAnsi="Verdana"/>
          <w:color w:val="365F91" w:themeColor="accent1" w:themeShade="BF"/>
          <w:lang w:val="en-NZ" w:eastAsia="zh-TW"/>
        </w:rPr>
        <w:t>:</w:t>
      </w:r>
    </w:p>
    <w:p w:rsidR="007B6840" w:rsidRPr="0066159F" w:rsidRDefault="00101493" w:rsidP="007C6528">
      <w:pPr>
        <w:numPr>
          <w:ilvl w:val="0"/>
          <w:numId w:val="7"/>
        </w:numPr>
        <w:spacing w:after="240" w:line="240" w:lineRule="auto"/>
        <w:ind w:left="284" w:hanging="284"/>
        <w:rPr>
          <w:rFonts w:ascii="Verdana" w:hAnsi="Verdana" w:cs="Times New Roman"/>
          <w:sz w:val="20"/>
          <w:szCs w:val="20"/>
          <w:lang w:val="en-NZ"/>
        </w:rPr>
      </w:pPr>
      <w:r w:rsidRPr="0066159F">
        <w:rPr>
          <w:rFonts w:ascii="Verdana" w:hAnsi="Verdana" w:cs="Times New Roman"/>
          <w:sz w:val="20"/>
          <w:lang w:val="en-NZ"/>
        </w:rPr>
        <w:t>The KPI</w:t>
      </w:r>
      <w:r w:rsidR="0066159F" w:rsidRPr="0066159F">
        <w:rPr>
          <w:rFonts w:ascii="Verdana" w:hAnsi="Verdana" w:cs="Times New Roman"/>
          <w:sz w:val="20"/>
          <w:lang w:val="en-NZ"/>
        </w:rPr>
        <w:t>s:</w:t>
      </w:r>
      <w:r w:rsidRPr="0066159F">
        <w:rPr>
          <w:rFonts w:ascii="Verdana" w:hAnsi="Verdana" w:cs="Times New Roman"/>
          <w:sz w:val="20"/>
          <w:lang w:val="en-NZ"/>
        </w:rPr>
        <w:t xml:space="preserve"> to i</w:t>
      </w:r>
      <w:r w:rsidR="007B6840" w:rsidRPr="0066159F">
        <w:rPr>
          <w:rFonts w:ascii="Verdana" w:hAnsi="Verdana" w:cs="Times New Roman"/>
          <w:sz w:val="20"/>
          <w:lang w:val="en-NZ"/>
        </w:rPr>
        <w:t xml:space="preserve">ncrease the </w:t>
      </w:r>
      <w:r w:rsidR="00847727" w:rsidRPr="0066159F">
        <w:rPr>
          <w:rFonts w:ascii="Verdana" w:hAnsi="Verdana" w:cs="Times New Roman"/>
          <w:sz w:val="20"/>
          <w:lang w:val="en-NZ"/>
        </w:rPr>
        <w:t>percentage</w:t>
      </w:r>
      <w:r w:rsidR="007B6840" w:rsidRPr="0066159F">
        <w:rPr>
          <w:rFonts w:ascii="Verdana" w:hAnsi="Verdana" w:cs="Times New Roman"/>
          <w:sz w:val="20"/>
          <w:lang w:val="en-NZ"/>
        </w:rPr>
        <w:t xml:space="preserve"> of Māori and Pacific UTAS students registered to participate in</w:t>
      </w:r>
      <w:r w:rsidR="005F7CC4" w:rsidRPr="0066159F">
        <w:rPr>
          <w:rFonts w:ascii="Verdana" w:hAnsi="Verdana" w:cs="Times New Roman"/>
          <w:sz w:val="20"/>
          <w:lang w:val="en-NZ"/>
        </w:rPr>
        <w:t xml:space="preserve"> the Tuākana Learning Community</w:t>
      </w:r>
      <w:r w:rsidR="0066159F" w:rsidRPr="0066159F">
        <w:rPr>
          <w:rFonts w:ascii="Verdana" w:hAnsi="Verdana" w:cs="Times New Roman"/>
          <w:sz w:val="20"/>
          <w:lang w:val="en-NZ"/>
        </w:rPr>
        <w:t xml:space="preserve">, and </w:t>
      </w:r>
      <w:r w:rsidR="0066159F">
        <w:rPr>
          <w:rFonts w:ascii="Verdana" w:hAnsi="Verdana" w:cs="Times New Roman"/>
          <w:sz w:val="20"/>
          <w:lang w:val="en-NZ"/>
        </w:rPr>
        <w:t>100%</w:t>
      </w:r>
      <w:r w:rsidR="007B6840" w:rsidRPr="0066159F">
        <w:rPr>
          <w:rFonts w:ascii="Verdana" w:eastAsia="Times New Roman" w:hAnsi="Verdana" w:cs="Times New Roman"/>
          <w:sz w:val="20"/>
          <w:szCs w:val="20"/>
          <w:lang w:val="en-NZ" w:eastAsia="en-NZ"/>
        </w:rPr>
        <w:t xml:space="preserve"> of UTAS students with disabilities </w:t>
      </w:r>
      <w:r w:rsidRPr="0066159F">
        <w:rPr>
          <w:rFonts w:ascii="Verdana" w:eastAsia="Times New Roman" w:hAnsi="Verdana" w:cs="Times New Roman"/>
          <w:sz w:val="20"/>
          <w:szCs w:val="20"/>
          <w:lang w:val="en-NZ" w:eastAsia="en-NZ"/>
        </w:rPr>
        <w:t xml:space="preserve">are </w:t>
      </w:r>
      <w:r w:rsidR="007B6840" w:rsidRPr="0066159F">
        <w:rPr>
          <w:rFonts w:ascii="Verdana" w:eastAsia="Times New Roman" w:hAnsi="Verdana" w:cs="Times New Roman"/>
          <w:sz w:val="20"/>
          <w:szCs w:val="20"/>
          <w:lang w:val="en-NZ" w:eastAsia="en-NZ"/>
        </w:rPr>
        <w:t>registered w</w:t>
      </w:r>
      <w:r w:rsidR="00847727" w:rsidRPr="0066159F">
        <w:rPr>
          <w:rFonts w:ascii="Verdana" w:eastAsia="Times New Roman" w:hAnsi="Verdana" w:cs="Times New Roman"/>
          <w:sz w:val="20"/>
          <w:szCs w:val="20"/>
          <w:lang w:val="en-NZ" w:eastAsia="en-NZ"/>
        </w:rPr>
        <w:t>ith Student Disability Services</w:t>
      </w:r>
      <w:r w:rsidR="0066159F">
        <w:rPr>
          <w:rFonts w:ascii="Verdana" w:eastAsia="Times New Roman" w:hAnsi="Verdana" w:cs="Times New Roman"/>
          <w:sz w:val="20"/>
          <w:szCs w:val="20"/>
          <w:lang w:val="en-NZ" w:eastAsia="en-NZ"/>
        </w:rPr>
        <w:t xml:space="preserve">, were </w:t>
      </w:r>
      <w:r w:rsidRPr="0066159F">
        <w:rPr>
          <w:rFonts w:ascii="Verdana" w:eastAsia="Times New Roman" w:hAnsi="Verdana" w:cs="Times New Roman"/>
          <w:sz w:val="20"/>
          <w:szCs w:val="20"/>
          <w:lang w:val="en-NZ" w:eastAsia="en-NZ"/>
        </w:rPr>
        <w:t>not able to be achieved because the data is not currently accessible</w:t>
      </w:r>
      <w:r w:rsidR="00E90D51" w:rsidRPr="0066159F">
        <w:rPr>
          <w:rFonts w:ascii="Verdana" w:eastAsia="Times New Roman" w:hAnsi="Verdana" w:cs="Times New Roman"/>
          <w:sz w:val="20"/>
          <w:szCs w:val="20"/>
          <w:lang w:val="en-NZ" w:eastAsia="en-NZ"/>
        </w:rPr>
        <w:t>.</w:t>
      </w:r>
      <w:r w:rsidR="001619C5">
        <w:rPr>
          <w:rFonts w:ascii="Verdana" w:eastAsia="Times New Roman" w:hAnsi="Verdana" w:cs="Times New Roman"/>
          <w:sz w:val="20"/>
          <w:szCs w:val="20"/>
          <w:lang w:val="en-NZ" w:eastAsia="en-NZ"/>
        </w:rPr>
        <w:t xml:space="preserve">  The</w:t>
      </w:r>
      <w:r w:rsidR="0066159F">
        <w:rPr>
          <w:rFonts w:ascii="Verdana" w:eastAsia="Times New Roman" w:hAnsi="Verdana" w:cs="Times New Roman"/>
          <w:sz w:val="20"/>
          <w:szCs w:val="20"/>
          <w:lang w:val="en-NZ" w:eastAsia="en-NZ"/>
        </w:rPr>
        <w:t xml:space="preserve"> PVC Equity was a member of the Student Retention Working Group which developed a Student Retention Policy </w:t>
      </w:r>
      <w:r w:rsidR="00057D46">
        <w:rPr>
          <w:rFonts w:ascii="Verdana" w:eastAsia="Times New Roman" w:hAnsi="Verdana" w:cs="Times New Roman"/>
          <w:sz w:val="20"/>
          <w:szCs w:val="20"/>
          <w:lang w:val="en-NZ" w:eastAsia="en-NZ"/>
        </w:rPr>
        <w:t>(</w:t>
      </w:r>
      <w:r w:rsidR="0066159F">
        <w:rPr>
          <w:rFonts w:ascii="Verdana" w:eastAsia="Times New Roman" w:hAnsi="Verdana" w:cs="Times New Roman"/>
          <w:sz w:val="20"/>
          <w:szCs w:val="20"/>
          <w:lang w:val="en-NZ" w:eastAsia="en-NZ"/>
        </w:rPr>
        <w:t>endorsed by Education Committee and Senate for adoption by Council</w:t>
      </w:r>
      <w:r w:rsidR="00057D46">
        <w:rPr>
          <w:rFonts w:ascii="Verdana" w:eastAsia="Times New Roman" w:hAnsi="Verdana" w:cs="Times New Roman"/>
          <w:sz w:val="20"/>
          <w:szCs w:val="20"/>
          <w:lang w:val="en-NZ" w:eastAsia="en-NZ"/>
        </w:rPr>
        <w:t>).  This</w:t>
      </w:r>
      <w:r w:rsidR="008D74AF">
        <w:rPr>
          <w:rFonts w:ascii="Verdana" w:eastAsia="Times New Roman" w:hAnsi="Verdana" w:cs="Times New Roman"/>
          <w:sz w:val="20"/>
          <w:szCs w:val="20"/>
          <w:lang w:val="en-NZ" w:eastAsia="en-NZ"/>
        </w:rPr>
        <w:t>,</w:t>
      </w:r>
      <w:r w:rsidR="00057D46">
        <w:rPr>
          <w:rFonts w:ascii="Verdana" w:eastAsia="Times New Roman" w:hAnsi="Verdana" w:cs="Times New Roman"/>
          <w:sz w:val="20"/>
          <w:szCs w:val="20"/>
          <w:lang w:val="en-NZ" w:eastAsia="en-NZ"/>
        </w:rPr>
        <w:t xml:space="preserve"> with the associated strategy and implementation plan</w:t>
      </w:r>
      <w:r w:rsidR="008D74AF">
        <w:rPr>
          <w:rFonts w:ascii="Verdana" w:eastAsia="Times New Roman" w:hAnsi="Verdana" w:cs="Times New Roman"/>
          <w:sz w:val="20"/>
          <w:szCs w:val="20"/>
          <w:lang w:val="en-NZ" w:eastAsia="en-NZ"/>
        </w:rPr>
        <w:t>,</w:t>
      </w:r>
      <w:r w:rsidR="001619C5">
        <w:rPr>
          <w:rFonts w:ascii="Verdana" w:eastAsia="Times New Roman" w:hAnsi="Verdana" w:cs="Times New Roman"/>
          <w:sz w:val="20"/>
          <w:szCs w:val="20"/>
          <w:lang w:val="en-NZ" w:eastAsia="en-NZ"/>
        </w:rPr>
        <w:t xml:space="preserve"> will</w:t>
      </w:r>
      <w:r w:rsidR="00057D46">
        <w:rPr>
          <w:rFonts w:ascii="Verdana" w:eastAsia="Times New Roman" w:hAnsi="Verdana" w:cs="Times New Roman"/>
          <w:sz w:val="20"/>
          <w:szCs w:val="20"/>
          <w:lang w:val="en-NZ" w:eastAsia="en-NZ"/>
        </w:rPr>
        <w:t xml:space="preserve"> </w:t>
      </w:r>
      <w:r w:rsidR="001619C5">
        <w:rPr>
          <w:rFonts w:ascii="Verdana" w:eastAsia="Times New Roman" w:hAnsi="Verdana" w:cs="Times New Roman"/>
          <w:sz w:val="20"/>
          <w:szCs w:val="20"/>
          <w:lang w:val="en-NZ" w:eastAsia="en-NZ"/>
        </w:rPr>
        <w:t xml:space="preserve">significantly enhance the UoA’s ability to support </w:t>
      </w:r>
      <w:r w:rsidR="001619C5" w:rsidRPr="0066159F">
        <w:rPr>
          <w:rFonts w:ascii="Verdana" w:hAnsi="Verdana" w:cs="Times New Roman"/>
          <w:sz w:val="20"/>
          <w:lang w:val="en-NZ"/>
        </w:rPr>
        <w:t>Māori</w:t>
      </w:r>
      <w:r w:rsidR="001619C5">
        <w:rPr>
          <w:rFonts w:ascii="Verdana" w:hAnsi="Verdana" w:cs="Times New Roman"/>
          <w:sz w:val="20"/>
          <w:lang w:val="en-NZ"/>
        </w:rPr>
        <w:t xml:space="preserve"> and equity group student success.</w:t>
      </w:r>
    </w:p>
    <w:p w:rsidR="00B84C54" w:rsidRDefault="00B84C54" w:rsidP="00847727">
      <w:pPr>
        <w:spacing w:after="0"/>
        <w:rPr>
          <w:rFonts w:ascii="Verdana" w:hAnsi="Verdana"/>
          <w:color w:val="365F91" w:themeColor="accent1" w:themeShade="BF"/>
          <w:lang w:eastAsia="zh-TW"/>
        </w:rPr>
      </w:pPr>
      <w:r>
        <w:rPr>
          <w:rFonts w:ascii="Verdana" w:hAnsi="Verdana"/>
          <w:color w:val="365F91" w:themeColor="accent1" w:themeShade="BF"/>
          <w:lang w:eastAsia="zh-TW"/>
        </w:rPr>
        <w:t>Update</w:t>
      </w:r>
      <w:r w:rsidRPr="00B84C54">
        <w:rPr>
          <w:rFonts w:ascii="Verdana" w:hAnsi="Verdana"/>
          <w:color w:val="365F91" w:themeColor="accent1" w:themeShade="BF"/>
          <w:lang w:eastAsia="zh-TW"/>
        </w:rPr>
        <w:t>:</w:t>
      </w:r>
    </w:p>
    <w:p w:rsidR="00003C6E" w:rsidRDefault="00003C6E" w:rsidP="00003C6E">
      <w:pPr>
        <w:pStyle w:val="ListParagraph"/>
        <w:numPr>
          <w:ilvl w:val="0"/>
          <w:numId w:val="36"/>
        </w:numPr>
        <w:ind w:left="284" w:hanging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</w:t>
      </w:r>
      <w:r w:rsidR="005B2DAF" w:rsidRPr="00003C6E">
        <w:rPr>
          <w:rFonts w:ascii="Verdana" w:hAnsi="Verdana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>d</w:t>
      </w:r>
      <w:r w:rsidR="005B2DAF" w:rsidRPr="00003C6E">
        <w:rPr>
          <w:rFonts w:ascii="Verdana" w:hAnsi="Verdana"/>
          <w:sz w:val="20"/>
          <w:szCs w:val="20"/>
        </w:rPr>
        <w:t xml:space="preserve"> the allocation and monitoring of Tertiary Education Commission Equity Funding</w:t>
      </w:r>
    </w:p>
    <w:p w:rsidR="00003C6E" w:rsidRDefault="00003C6E" w:rsidP="00003C6E">
      <w:pPr>
        <w:pStyle w:val="ListParagraph"/>
        <w:numPr>
          <w:ilvl w:val="0"/>
          <w:numId w:val="36"/>
        </w:numPr>
        <w:ind w:left="284" w:hanging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Coordinated</w:t>
      </w:r>
      <w:r w:rsidR="005B2DAF" w:rsidRPr="00003C6E">
        <w:rPr>
          <w:rFonts w:ascii="Verdana" w:hAnsi="Verdana"/>
          <w:sz w:val="20"/>
          <w:szCs w:val="20"/>
        </w:rPr>
        <w:t xml:space="preserve"> the Tu</w:t>
      </w:r>
      <w:r w:rsidR="00624A04">
        <w:rPr>
          <w:rFonts w:ascii="Verdana" w:hAnsi="Verdana"/>
          <w:sz w:val="20"/>
          <w:szCs w:val="20"/>
        </w:rPr>
        <w:t>ā</w:t>
      </w:r>
      <w:r w:rsidR="005B2DAF" w:rsidRPr="00003C6E">
        <w:rPr>
          <w:rFonts w:ascii="Verdana" w:hAnsi="Verdana"/>
          <w:sz w:val="20"/>
          <w:szCs w:val="20"/>
        </w:rPr>
        <w:t xml:space="preserve">kana learning community, </w:t>
      </w:r>
      <w:r w:rsidR="00FB52B0" w:rsidRPr="00003C6E">
        <w:rPr>
          <w:rFonts w:ascii="Verdana" w:hAnsi="Verdana"/>
          <w:sz w:val="20"/>
          <w:szCs w:val="20"/>
        </w:rPr>
        <w:t>supporting</w:t>
      </w:r>
      <w:r w:rsidR="005B2DAF" w:rsidRPr="00003C6E">
        <w:rPr>
          <w:rFonts w:ascii="Verdana" w:hAnsi="Verdana"/>
          <w:sz w:val="20"/>
          <w:szCs w:val="20"/>
        </w:rPr>
        <w:t xml:space="preserve"> Māori</w:t>
      </w:r>
      <w:r w:rsidR="00B84C54" w:rsidRPr="00003C6E">
        <w:rPr>
          <w:rFonts w:ascii="Verdana" w:hAnsi="Verdana"/>
          <w:sz w:val="20"/>
          <w:szCs w:val="20"/>
        </w:rPr>
        <w:t xml:space="preserve"> and Pacific students</w:t>
      </w:r>
    </w:p>
    <w:p w:rsidR="00003C6E" w:rsidRDefault="005B2DAF" w:rsidP="00003C6E">
      <w:pPr>
        <w:pStyle w:val="ListParagraph"/>
        <w:numPr>
          <w:ilvl w:val="0"/>
          <w:numId w:val="36"/>
        </w:numPr>
        <w:ind w:left="284" w:hanging="284"/>
        <w:rPr>
          <w:rFonts w:ascii="Verdana" w:hAnsi="Verdana"/>
          <w:sz w:val="20"/>
          <w:szCs w:val="20"/>
        </w:rPr>
      </w:pPr>
      <w:r w:rsidRPr="00003C6E">
        <w:rPr>
          <w:rFonts w:ascii="Verdana" w:hAnsi="Verdana"/>
          <w:sz w:val="20"/>
          <w:szCs w:val="20"/>
        </w:rPr>
        <w:t>Kaiārahi</w:t>
      </w:r>
      <w:r w:rsidR="00B8471F">
        <w:rPr>
          <w:rFonts w:ascii="Verdana" w:hAnsi="Verdana"/>
          <w:sz w:val="20"/>
          <w:szCs w:val="20"/>
        </w:rPr>
        <w:t xml:space="preserve"> </w:t>
      </w:r>
      <w:r w:rsidRPr="00003C6E">
        <w:rPr>
          <w:rFonts w:ascii="Verdana" w:hAnsi="Verdana"/>
          <w:sz w:val="20"/>
          <w:szCs w:val="20"/>
        </w:rPr>
        <w:t>support</w:t>
      </w:r>
      <w:r w:rsidR="007E3825">
        <w:rPr>
          <w:rFonts w:ascii="Verdana" w:hAnsi="Verdana"/>
          <w:sz w:val="20"/>
          <w:szCs w:val="20"/>
        </w:rPr>
        <w:t>s</w:t>
      </w:r>
      <w:r w:rsidR="00CD7F77">
        <w:rPr>
          <w:rFonts w:ascii="Verdana" w:hAnsi="Verdana"/>
          <w:sz w:val="20"/>
          <w:szCs w:val="20"/>
        </w:rPr>
        <w:t xml:space="preserve"> </w:t>
      </w:r>
      <w:r w:rsidRPr="00003C6E">
        <w:rPr>
          <w:rFonts w:ascii="Verdana" w:hAnsi="Verdana"/>
          <w:sz w:val="20"/>
          <w:szCs w:val="20"/>
        </w:rPr>
        <w:t>Māori students</w:t>
      </w:r>
      <w:r w:rsidR="00B84C54" w:rsidRPr="00003C6E">
        <w:rPr>
          <w:rFonts w:ascii="Verdana" w:hAnsi="Verdana"/>
          <w:sz w:val="20"/>
          <w:szCs w:val="20"/>
        </w:rPr>
        <w:t xml:space="preserve"> </w:t>
      </w:r>
    </w:p>
    <w:p w:rsidR="00003C6E" w:rsidRDefault="005B2DAF" w:rsidP="00003C6E">
      <w:pPr>
        <w:pStyle w:val="ListParagraph"/>
        <w:numPr>
          <w:ilvl w:val="0"/>
          <w:numId w:val="36"/>
        </w:numPr>
        <w:ind w:left="284" w:hanging="284"/>
        <w:rPr>
          <w:rFonts w:ascii="Verdana" w:hAnsi="Verdana"/>
          <w:sz w:val="20"/>
          <w:szCs w:val="20"/>
        </w:rPr>
      </w:pPr>
      <w:r w:rsidRPr="00003C6E">
        <w:rPr>
          <w:rFonts w:ascii="Verdana" w:hAnsi="Verdana"/>
          <w:sz w:val="20"/>
          <w:szCs w:val="20"/>
        </w:rPr>
        <w:t>Kaitakawaenga Māori Equity Advisor and Pacific Equity Advisor support</w:t>
      </w:r>
      <w:r w:rsidR="00CD7F77">
        <w:rPr>
          <w:rFonts w:ascii="Verdana" w:hAnsi="Verdana"/>
          <w:sz w:val="20"/>
          <w:szCs w:val="20"/>
        </w:rPr>
        <w:t xml:space="preserve"> </w:t>
      </w:r>
      <w:r w:rsidRPr="00003C6E">
        <w:rPr>
          <w:rFonts w:ascii="Verdana" w:hAnsi="Verdana"/>
          <w:sz w:val="20"/>
          <w:szCs w:val="20"/>
        </w:rPr>
        <w:t>Māori and Pacific</w:t>
      </w:r>
      <w:r w:rsidR="00003C6E">
        <w:rPr>
          <w:rFonts w:ascii="Verdana" w:hAnsi="Verdana"/>
          <w:sz w:val="20"/>
          <w:szCs w:val="20"/>
        </w:rPr>
        <w:t xml:space="preserve"> students</w:t>
      </w:r>
    </w:p>
    <w:p w:rsidR="00003C6E" w:rsidRDefault="004A11CF" w:rsidP="00003C6E">
      <w:pPr>
        <w:pStyle w:val="ListParagraph"/>
        <w:numPr>
          <w:ilvl w:val="0"/>
          <w:numId w:val="36"/>
        </w:numPr>
        <w:ind w:left="284" w:hanging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Student</w:t>
      </w:r>
      <w:r w:rsidR="005B2DAF" w:rsidRPr="00003C6E">
        <w:rPr>
          <w:rFonts w:ascii="Verdana" w:hAnsi="Verdana"/>
          <w:sz w:val="20"/>
          <w:szCs w:val="20"/>
        </w:rPr>
        <w:t xml:space="preserve"> Disabilit</w:t>
      </w:r>
      <w:r>
        <w:rPr>
          <w:rFonts w:ascii="Verdana" w:hAnsi="Verdana"/>
          <w:sz w:val="20"/>
          <w:szCs w:val="20"/>
        </w:rPr>
        <w:t>y</w:t>
      </w:r>
      <w:r w:rsidR="00CD7F77">
        <w:rPr>
          <w:rFonts w:ascii="Verdana" w:hAnsi="Verdana"/>
          <w:sz w:val="20"/>
          <w:szCs w:val="20"/>
        </w:rPr>
        <w:t xml:space="preserve"> Services support</w:t>
      </w:r>
      <w:r w:rsidR="007E3825">
        <w:rPr>
          <w:rFonts w:ascii="Verdana" w:hAnsi="Verdana"/>
          <w:sz w:val="20"/>
          <w:szCs w:val="20"/>
        </w:rPr>
        <w:t>s</w:t>
      </w:r>
      <w:r w:rsidR="00CD7F77">
        <w:rPr>
          <w:rFonts w:ascii="Verdana" w:hAnsi="Verdana"/>
          <w:sz w:val="20"/>
          <w:szCs w:val="20"/>
        </w:rPr>
        <w:t xml:space="preserve"> </w:t>
      </w:r>
      <w:r w:rsidR="005B2DAF" w:rsidRPr="00003C6E">
        <w:rPr>
          <w:rFonts w:ascii="Verdana" w:hAnsi="Verdana"/>
          <w:sz w:val="20"/>
          <w:szCs w:val="20"/>
        </w:rPr>
        <w:t>students wi</w:t>
      </w:r>
      <w:r w:rsidR="00003C6E">
        <w:rPr>
          <w:rFonts w:ascii="Verdana" w:hAnsi="Verdana"/>
          <w:sz w:val="20"/>
          <w:szCs w:val="20"/>
        </w:rPr>
        <w:t>th disabilities and impairments</w:t>
      </w:r>
    </w:p>
    <w:p w:rsidR="00003C6E" w:rsidRDefault="00003C6E" w:rsidP="00003C6E">
      <w:pPr>
        <w:pStyle w:val="ListParagraph"/>
        <w:numPr>
          <w:ilvl w:val="0"/>
          <w:numId w:val="36"/>
        </w:numPr>
        <w:ind w:left="284" w:hanging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="005B2DAF" w:rsidRPr="00003C6E">
        <w:rPr>
          <w:rFonts w:ascii="Verdana" w:hAnsi="Verdana"/>
          <w:sz w:val="20"/>
          <w:szCs w:val="20"/>
        </w:rPr>
        <w:t>rovide</w:t>
      </w:r>
      <w:r>
        <w:rPr>
          <w:rFonts w:ascii="Verdana" w:hAnsi="Verdana"/>
          <w:sz w:val="20"/>
          <w:szCs w:val="20"/>
        </w:rPr>
        <w:t>d</w:t>
      </w:r>
      <w:r w:rsidR="005B2DAF" w:rsidRPr="00003C6E">
        <w:rPr>
          <w:rFonts w:ascii="Verdana" w:hAnsi="Verdana"/>
          <w:sz w:val="20"/>
          <w:szCs w:val="20"/>
        </w:rPr>
        <w:t xml:space="preserve"> resource to Library and Learning Services, for </w:t>
      </w:r>
      <w:r w:rsidR="00B84C54" w:rsidRPr="00003C6E">
        <w:rPr>
          <w:rFonts w:ascii="Verdana" w:hAnsi="Verdana"/>
          <w:sz w:val="20"/>
          <w:szCs w:val="20"/>
        </w:rPr>
        <w:t>d</w:t>
      </w:r>
      <w:r w:rsidR="005B2DAF" w:rsidRPr="00003C6E">
        <w:rPr>
          <w:rFonts w:ascii="Verdana" w:hAnsi="Verdana"/>
          <w:sz w:val="20"/>
          <w:szCs w:val="20"/>
        </w:rPr>
        <w:t>iagnostic and support services for stud</w:t>
      </w:r>
      <w:r w:rsidR="00B84C54" w:rsidRPr="00003C6E">
        <w:rPr>
          <w:rFonts w:ascii="Verdana" w:hAnsi="Verdana"/>
          <w:sz w:val="20"/>
          <w:szCs w:val="20"/>
        </w:rPr>
        <w:t xml:space="preserve">ents with learning disabilities </w:t>
      </w:r>
    </w:p>
    <w:p w:rsidR="00003C6E" w:rsidRDefault="00003C6E" w:rsidP="00003C6E">
      <w:pPr>
        <w:pStyle w:val="ListParagraph"/>
        <w:numPr>
          <w:ilvl w:val="0"/>
          <w:numId w:val="36"/>
        </w:numPr>
        <w:ind w:left="284" w:hanging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</w:t>
      </w:r>
      <w:r w:rsidR="005B2DAF" w:rsidRPr="00003C6E">
        <w:rPr>
          <w:rFonts w:ascii="Verdana" w:hAnsi="Verdana"/>
          <w:sz w:val="20"/>
          <w:szCs w:val="20"/>
        </w:rPr>
        <w:t>oordinat</w:t>
      </w:r>
      <w:r>
        <w:rPr>
          <w:rFonts w:ascii="Verdana" w:hAnsi="Verdana"/>
          <w:sz w:val="20"/>
          <w:szCs w:val="20"/>
        </w:rPr>
        <w:t>ed</w:t>
      </w:r>
      <w:r w:rsidR="00A160A5">
        <w:rPr>
          <w:rFonts w:ascii="Verdana" w:hAnsi="Verdana"/>
          <w:sz w:val="20"/>
          <w:szCs w:val="20"/>
        </w:rPr>
        <w:t xml:space="preserve"> and supported</w:t>
      </w:r>
      <w:r w:rsidR="005B2DAF" w:rsidRPr="00003C6E">
        <w:rPr>
          <w:rFonts w:ascii="Verdana" w:hAnsi="Verdana"/>
          <w:sz w:val="20"/>
          <w:szCs w:val="20"/>
        </w:rPr>
        <w:t xml:space="preserve"> the UTAS Community of Interest</w:t>
      </w:r>
      <w:r w:rsidR="00FB52B0" w:rsidRPr="00003C6E">
        <w:rPr>
          <w:rFonts w:ascii="Verdana" w:hAnsi="Verdana"/>
          <w:sz w:val="20"/>
          <w:szCs w:val="20"/>
        </w:rPr>
        <w:t xml:space="preserve">, </w:t>
      </w:r>
      <w:r w:rsidR="005B2DAF" w:rsidRPr="00003C6E">
        <w:rPr>
          <w:rFonts w:ascii="Verdana" w:hAnsi="Verdana"/>
          <w:sz w:val="20"/>
          <w:szCs w:val="20"/>
        </w:rPr>
        <w:t>Equity Community of Interest</w:t>
      </w:r>
      <w:r w:rsidR="00A160A5">
        <w:rPr>
          <w:rFonts w:ascii="Verdana" w:hAnsi="Verdana"/>
          <w:sz w:val="20"/>
          <w:szCs w:val="20"/>
        </w:rPr>
        <w:t>, Disability Programme Advisory Group</w:t>
      </w:r>
      <w:r w:rsidR="00FB52B0" w:rsidRPr="00003C6E">
        <w:rPr>
          <w:rFonts w:ascii="Verdana" w:hAnsi="Verdana"/>
          <w:sz w:val="20"/>
          <w:szCs w:val="20"/>
        </w:rPr>
        <w:t xml:space="preserve"> </w:t>
      </w:r>
    </w:p>
    <w:p w:rsidR="00003C6E" w:rsidRDefault="00003C6E" w:rsidP="00003C6E">
      <w:pPr>
        <w:pStyle w:val="ListParagraph"/>
        <w:numPr>
          <w:ilvl w:val="0"/>
          <w:numId w:val="36"/>
        </w:numPr>
        <w:ind w:left="284" w:hanging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="005B2DAF" w:rsidRPr="00003C6E">
        <w:rPr>
          <w:rFonts w:ascii="Verdana" w:hAnsi="Verdana"/>
          <w:sz w:val="20"/>
          <w:szCs w:val="20"/>
        </w:rPr>
        <w:t>rovided input into the ‘Māori</w:t>
      </w:r>
      <w:r w:rsidR="00B84C54" w:rsidRPr="00003C6E">
        <w:rPr>
          <w:rFonts w:ascii="Verdana" w:hAnsi="Verdana"/>
          <w:sz w:val="20"/>
          <w:szCs w:val="20"/>
        </w:rPr>
        <w:t xml:space="preserve"> student journey’, ‘Pacific student journey’ and ‘Students with disabilities journey’</w:t>
      </w:r>
    </w:p>
    <w:p w:rsidR="006925BE" w:rsidRDefault="009B7F8A" w:rsidP="006925BE">
      <w:pPr>
        <w:pStyle w:val="ListParagraph"/>
        <w:numPr>
          <w:ilvl w:val="0"/>
          <w:numId w:val="36"/>
        </w:numPr>
        <w:ind w:left="284" w:hanging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Extensive consultation led</w:t>
      </w:r>
      <w:r w:rsidR="006925BE">
        <w:rPr>
          <w:rFonts w:ascii="Verdana" w:hAnsi="Verdana"/>
          <w:sz w:val="20"/>
          <w:szCs w:val="20"/>
        </w:rPr>
        <w:t xml:space="preserve"> to r</w:t>
      </w:r>
      <w:r w:rsidR="006925BE" w:rsidRPr="00003C6E">
        <w:rPr>
          <w:rFonts w:ascii="Verdana" w:hAnsi="Verdana"/>
          <w:sz w:val="20"/>
          <w:szCs w:val="20"/>
        </w:rPr>
        <w:t>evis</w:t>
      </w:r>
      <w:r w:rsidR="006925BE">
        <w:rPr>
          <w:rFonts w:ascii="Verdana" w:hAnsi="Verdana"/>
          <w:sz w:val="20"/>
          <w:szCs w:val="20"/>
        </w:rPr>
        <w:t>ed</w:t>
      </w:r>
      <w:r w:rsidR="006925BE" w:rsidRPr="00003C6E">
        <w:rPr>
          <w:rFonts w:ascii="Verdana" w:hAnsi="Verdana"/>
          <w:sz w:val="20"/>
          <w:szCs w:val="20"/>
        </w:rPr>
        <w:t xml:space="preserve"> templates for yearly faculty Equity Reports</w:t>
      </w:r>
    </w:p>
    <w:p w:rsidR="00003C6E" w:rsidRDefault="009B7F8A" w:rsidP="00003C6E">
      <w:pPr>
        <w:pStyle w:val="ListParagraph"/>
        <w:numPr>
          <w:ilvl w:val="0"/>
          <w:numId w:val="36"/>
        </w:numPr>
        <w:ind w:left="284" w:hanging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Engaging</w:t>
      </w:r>
      <w:r w:rsidR="00FB52B0" w:rsidRPr="00003C6E">
        <w:rPr>
          <w:rFonts w:ascii="Verdana" w:hAnsi="Verdana"/>
          <w:sz w:val="20"/>
          <w:szCs w:val="20"/>
        </w:rPr>
        <w:t xml:space="preserve"> with </w:t>
      </w:r>
      <w:r w:rsidR="004A11CF">
        <w:rPr>
          <w:rFonts w:ascii="Verdana" w:hAnsi="Verdana"/>
          <w:sz w:val="20"/>
          <w:szCs w:val="20"/>
        </w:rPr>
        <w:t>stakeholders</w:t>
      </w:r>
      <w:r w:rsidR="00FB52B0" w:rsidRPr="00003C6E">
        <w:rPr>
          <w:rFonts w:ascii="Verdana" w:hAnsi="Verdana"/>
          <w:sz w:val="20"/>
          <w:szCs w:val="20"/>
        </w:rPr>
        <w:t xml:space="preserve"> </w:t>
      </w:r>
      <w:r w:rsidR="00003C6E">
        <w:rPr>
          <w:rFonts w:ascii="Verdana" w:hAnsi="Verdana"/>
          <w:sz w:val="20"/>
          <w:szCs w:val="20"/>
        </w:rPr>
        <w:t>on</w:t>
      </w:r>
      <w:r w:rsidR="00A86526" w:rsidRPr="00003C6E">
        <w:rPr>
          <w:rFonts w:ascii="Verdana" w:hAnsi="Verdana"/>
          <w:sz w:val="20"/>
          <w:szCs w:val="20"/>
        </w:rPr>
        <w:t xml:space="preserve"> dashboards for equity data</w:t>
      </w:r>
    </w:p>
    <w:p w:rsidR="005B2DAF" w:rsidRPr="00003C6E" w:rsidRDefault="00003C6E" w:rsidP="00003C6E">
      <w:pPr>
        <w:pStyle w:val="ListParagraph"/>
        <w:numPr>
          <w:ilvl w:val="0"/>
          <w:numId w:val="36"/>
        </w:numPr>
        <w:ind w:left="284" w:hanging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="00CF3579" w:rsidRPr="00003C6E">
        <w:rPr>
          <w:rFonts w:ascii="Verdana" w:hAnsi="Verdana"/>
          <w:sz w:val="20"/>
          <w:szCs w:val="20"/>
        </w:rPr>
        <w:t>eveloping a UTAS best practice document</w:t>
      </w:r>
      <w:r w:rsidR="00E90D51">
        <w:rPr>
          <w:rFonts w:ascii="Verdana" w:hAnsi="Verdana"/>
          <w:sz w:val="20"/>
          <w:szCs w:val="20"/>
        </w:rPr>
        <w:t>.</w:t>
      </w:r>
    </w:p>
    <w:p w:rsidR="007B6840" w:rsidRDefault="007B6840" w:rsidP="007B6840">
      <w:r w:rsidRPr="00913BC1">
        <w:rPr>
          <w:rFonts w:ascii="Verdana" w:eastAsiaTheme="minorEastAsia" w:hAnsi="Verdana"/>
          <w:i/>
          <w:color w:val="365F91" w:themeColor="accent1" w:themeShade="BF"/>
          <w:lang w:val="en-NZ" w:eastAsia="zh-TW"/>
        </w:rPr>
        <w:t xml:space="preserve">Key objective </w:t>
      </w:r>
      <w:r>
        <w:rPr>
          <w:rFonts w:ascii="Verdana" w:eastAsiaTheme="minorEastAsia" w:hAnsi="Verdana"/>
          <w:i/>
          <w:color w:val="365F91" w:themeColor="accent1" w:themeShade="BF"/>
          <w:lang w:val="en-NZ" w:eastAsia="zh-TW"/>
        </w:rPr>
        <w:t>4</w:t>
      </w:r>
      <w:r w:rsidRPr="00913BC1">
        <w:rPr>
          <w:rFonts w:ascii="Verdana" w:eastAsiaTheme="minorEastAsia" w:hAnsi="Verdana"/>
          <w:i/>
          <w:color w:val="365F91" w:themeColor="accent1" w:themeShade="BF"/>
          <w:lang w:val="en-NZ" w:eastAsia="zh-TW"/>
        </w:rPr>
        <w:t>:</w:t>
      </w:r>
      <w:r w:rsidRPr="007B6840">
        <w:t xml:space="preserve"> </w:t>
      </w:r>
    </w:p>
    <w:p w:rsidR="007B6840" w:rsidRPr="00F948FC" w:rsidRDefault="007B6840" w:rsidP="007B6840">
      <w:pPr>
        <w:spacing w:after="240" w:line="240" w:lineRule="auto"/>
        <w:rPr>
          <w:rFonts w:ascii="Verdana" w:hAnsi="Verdana"/>
          <w:b/>
          <w:color w:val="365F91" w:themeColor="accent1" w:themeShade="BF"/>
          <w:lang w:val="en-NZ"/>
        </w:rPr>
      </w:pPr>
      <w:r w:rsidRPr="00F948FC">
        <w:rPr>
          <w:rFonts w:ascii="Verdana" w:hAnsi="Verdana"/>
          <w:b/>
          <w:color w:val="365F91" w:themeColor="accent1" w:themeShade="BF"/>
          <w:lang w:val="en-NZ"/>
        </w:rPr>
        <w:t>A safe, inclusive, accessible and equitable environment that supports staff and students with disabilities to achieve their potential</w:t>
      </w:r>
    </w:p>
    <w:p w:rsidR="007B6840" w:rsidRDefault="001E7090" w:rsidP="00DE4384">
      <w:pPr>
        <w:spacing w:after="0"/>
        <w:rPr>
          <w:rFonts w:ascii="Verdana" w:eastAsiaTheme="minorEastAsia" w:hAnsi="Verdana"/>
          <w:color w:val="365F91" w:themeColor="accent1" w:themeShade="BF"/>
          <w:lang w:val="en-NZ" w:eastAsia="zh-TW"/>
        </w:rPr>
      </w:pPr>
      <w:r>
        <w:rPr>
          <w:rFonts w:ascii="Verdana" w:eastAsiaTheme="minorEastAsia" w:hAnsi="Verdana"/>
          <w:color w:val="365F91" w:themeColor="accent1" w:themeShade="BF"/>
          <w:lang w:val="en-NZ" w:eastAsia="zh-TW"/>
        </w:rPr>
        <w:t xml:space="preserve">Achievement: </w:t>
      </w:r>
      <w:r w:rsidR="007B6840" w:rsidRPr="00913BC1">
        <w:rPr>
          <w:rFonts w:ascii="Verdana" w:eastAsiaTheme="minorEastAsia" w:hAnsi="Verdana"/>
          <w:color w:val="365F91" w:themeColor="accent1" w:themeShade="BF"/>
          <w:lang w:val="en-NZ" w:eastAsia="zh-TW"/>
        </w:rPr>
        <w:t xml:space="preserve"> </w:t>
      </w:r>
    </w:p>
    <w:p w:rsidR="00654DFA" w:rsidRDefault="007D064F" w:rsidP="00654DFA">
      <w:pPr>
        <w:numPr>
          <w:ilvl w:val="0"/>
          <w:numId w:val="9"/>
        </w:numPr>
        <w:spacing w:after="240" w:line="240" w:lineRule="auto"/>
        <w:ind w:left="284" w:hanging="284"/>
        <w:rPr>
          <w:rFonts w:ascii="Verdana" w:hAnsi="Verdana" w:cs="Times New Roman"/>
          <w:sz w:val="20"/>
          <w:lang w:val="en-NZ"/>
        </w:rPr>
      </w:pPr>
      <w:r>
        <w:rPr>
          <w:rFonts w:ascii="Verdana" w:hAnsi="Verdana" w:cs="Times New Roman"/>
          <w:sz w:val="20"/>
          <w:lang w:val="en-NZ"/>
        </w:rPr>
        <w:t>Establishment of the university</w:t>
      </w:r>
      <w:r w:rsidR="001C5B6D">
        <w:rPr>
          <w:rFonts w:ascii="Verdana" w:hAnsi="Verdana" w:cs="Times New Roman"/>
          <w:sz w:val="20"/>
          <w:lang w:val="en-NZ"/>
        </w:rPr>
        <w:t>-</w:t>
      </w:r>
      <w:r>
        <w:rPr>
          <w:rFonts w:ascii="Verdana" w:hAnsi="Verdana" w:cs="Times New Roman"/>
          <w:sz w:val="20"/>
          <w:lang w:val="en-NZ"/>
        </w:rPr>
        <w:t>wide Disability Programme</w:t>
      </w:r>
      <w:r w:rsidR="00E90D51">
        <w:rPr>
          <w:rFonts w:ascii="Verdana" w:hAnsi="Verdana" w:cs="Times New Roman"/>
          <w:sz w:val="20"/>
          <w:lang w:val="en-NZ"/>
        </w:rPr>
        <w:t>.</w:t>
      </w:r>
    </w:p>
    <w:p w:rsidR="001E7090" w:rsidRDefault="001E7090" w:rsidP="00DE4384">
      <w:pPr>
        <w:spacing w:after="0" w:line="240" w:lineRule="auto"/>
        <w:rPr>
          <w:rFonts w:ascii="Verdana" w:eastAsiaTheme="minorEastAsia" w:hAnsi="Verdana"/>
          <w:color w:val="365F91" w:themeColor="accent1" w:themeShade="BF"/>
          <w:lang w:val="en-NZ" w:eastAsia="zh-TW"/>
        </w:rPr>
      </w:pPr>
      <w:r>
        <w:rPr>
          <w:rFonts w:ascii="Verdana" w:eastAsiaTheme="minorEastAsia" w:hAnsi="Verdana"/>
          <w:color w:val="365F91" w:themeColor="accent1" w:themeShade="BF"/>
          <w:lang w:val="en-NZ" w:eastAsia="zh-TW"/>
        </w:rPr>
        <w:t>Challenge:</w:t>
      </w:r>
    </w:p>
    <w:p w:rsidR="001E7090" w:rsidRPr="001E7090" w:rsidRDefault="00BB556E" w:rsidP="001E7090">
      <w:pPr>
        <w:pStyle w:val="ListParagraph"/>
        <w:numPr>
          <w:ilvl w:val="0"/>
          <w:numId w:val="9"/>
        </w:numPr>
        <w:spacing w:after="240" w:line="240" w:lineRule="auto"/>
        <w:ind w:left="284" w:hanging="284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Resource implications of implementation</w:t>
      </w:r>
      <w:r w:rsidR="004A11CF">
        <w:rPr>
          <w:rFonts w:ascii="Verdana" w:hAnsi="Verdana" w:cs="Times New Roman"/>
          <w:sz w:val="20"/>
        </w:rPr>
        <w:t xml:space="preserve"> of the Programme</w:t>
      </w:r>
      <w:r w:rsidR="00E90D51">
        <w:rPr>
          <w:rFonts w:ascii="Verdana" w:hAnsi="Verdana" w:cs="Times New Roman"/>
          <w:sz w:val="20"/>
        </w:rPr>
        <w:t>.</w:t>
      </w:r>
    </w:p>
    <w:p w:rsidR="007B6840" w:rsidRDefault="007B6840" w:rsidP="00DE4384">
      <w:pPr>
        <w:spacing w:after="0"/>
        <w:rPr>
          <w:rFonts w:ascii="Verdana" w:eastAsiaTheme="minorEastAsia" w:hAnsi="Verdana"/>
          <w:color w:val="365F91" w:themeColor="accent1" w:themeShade="BF"/>
          <w:lang w:val="en-NZ" w:eastAsia="zh-TW"/>
        </w:rPr>
      </w:pPr>
      <w:r w:rsidRPr="00913BC1">
        <w:rPr>
          <w:rFonts w:ascii="Verdana" w:eastAsiaTheme="minorEastAsia" w:hAnsi="Verdana"/>
          <w:color w:val="365F91" w:themeColor="accent1" w:themeShade="BF"/>
          <w:lang w:val="en-NZ" w:eastAsia="zh-TW"/>
        </w:rPr>
        <w:t>Strategic initiatives:</w:t>
      </w:r>
    </w:p>
    <w:p w:rsidR="007B6840" w:rsidRPr="007B6840" w:rsidRDefault="00DE4384" w:rsidP="007B6840">
      <w:pPr>
        <w:numPr>
          <w:ilvl w:val="0"/>
          <w:numId w:val="9"/>
        </w:numPr>
        <w:spacing w:after="240" w:line="240" w:lineRule="auto"/>
        <w:ind w:left="284" w:hanging="284"/>
        <w:rPr>
          <w:rFonts w:ascii="Verdana" w:hAnsi="Verdana" w:cs="Times New Roman"/>
          <w:sz w:val="20"/>
          <w:lang w:val="en-NZ"/>
        </w:rPr>
      </w:pPr>
      <w:r>
        <w:rPr>
          <w:rFonts w:ascii="Verdana" w:hAnsi="Verdana" w:cs="Times New Roman"/>
          <w:sz w:val="20"/>
          <w:lang w:val="en-NZ"/>
        </w:rPr>
        <w:t>T</w:t>
      </w:r>
      <w:r w:rsidR="00BB556E">
        <w:rPr>
          <w:rFonts w:ascii="Verdana" w:hAnsi="Verdana" w:cs="Times New Roman"/>
          <w:sz w:val="20"/>
          <w:lang w:val="en-NZ"/>
        </w:rPr>
        <w:t xml:space="preserve">he </w:t>
      </w:r>
      <w:r>
        <w:rPr>
          <w:rFonts w:ascii="Verdana" w:hAnsi="Verdana" w:cs="Times New Roman"/>
          <w:sz w:val="20"/>
          <w:lang w:val="en-NZ"/>
        </w:rPr>
        <w:t>Disability Programme</w:t>
      </w:r>
      <w:r w:rsidR="00E90D51">
        <w:rPr>
          <w:rFonts w:ascii="Verdana" w:hAnsi="Verdana" w:cs="Times New Roman"/>
          <w:sz w:val="20"/>
          <w:lang w:val="en-NZ"/>
        </w:rPr>
        <w:t>.</w:t>
      </w:r>
    </w:p>
    <w:p w:rsidR="007B6840" w:rsidRDefault="007B6840" w:rsidP="00DE4384">
      <w:pPr>
        <w:spacing w:after="0"/>
        <w:rPr>
          <w:rFonts w:ascii="Verdana" w:eastAsiaTheme="minorEastAsia" w:hAnsi="Verdana"/>
          <w:color w:val="365F91" w:themeColor="accent1" w:themeShade="BF"/>
          <w:lang w:val="en-NZ" w:eastAsia="zh-TW"/>
        </w:rPr>
      </w:pPr>
      <w:r w:rsidRPr="00913BC1">
        <w:rPr>
          <w:rFonts w:ascii="Verdana" w:eastAsiaTheme="minorEastAsia" w:hAnsi="Verdana"/>
          <w:color w:val="365F91" w:themeColor="accent1" w:themeShade="BF"/>
          <w:lang w:val="en-NZ" w:eastAsia="zh-TW"/>
        </w:rPr>
        <w:t>KPI</w:t>
      </w:r>
      <w:r>
        <w:rPr>
          <w:rFonts w:ascii="Verdana" w:eastAsiaTheme="minorEastAsia" w:hAnsi="Verdana"/>
          <w:color w:val="365F91" w:themeColor="accent1" w:themeShade="BF"/>
          <w:lang w:val="en-NZ" w:eastAsia="zh-TW"/>
        </w:rPr>
        <w:t>s</w:t>
      </w:r>
      <w:r w:rsidRPr="00913BC1">
        <w:rPr>
          <w:rFonts w:ascii="Verdana" w:eastAsiaTheme="minorEastAsia" w:hAnsi="Verdana"/>
          <w:color w:val="365F91" w:themeColor="accent1" w:themeShade="BF"/>
          <w:lang w:val="en-NZ" w:eastAsia="zh-TW"/>
        </w:rPr>
        <w:t>:</w:t>
      </w:r>
    </w:p>
    <w:p w:rsidR="007B6840" w:rsidRDefault="00585118" w:rsidP="00913BC1">
      <w:pPr>
        <w:numPr>
          <w:ilvl w:val="0"/>
          <w:numId w:val="9"/>
        </w:numPr>
        <w:spacing w:after="120" w:line="240" w:lineRule="auto"/>
        <w:ind w:left="284" w:hanging="284"/>
        <w:rPr>
          <w:rFonts w:ascii="Verdana" w:hAnsi="Verdana" w:cs="Times New Roman"/>
          <w:sz w:val="20"/>
          <w:lang w:val="en-NZ"/>
        </w:rPr>
      </w:pPr>
      <w:r>
        <w:rPr>
          <w:rFonts w:ascii="Verdana" w:hAnsi="Verdana" w:cs="Times New Roman"/>
          <w:sz w:val="20"/>
          <w:lang w:val="en-NZ"/>
        </w:rPr>
        <w:t>The 2017</w:t>
      </w:r>
      <w:r w:rsidR="00654DFA">
        <w:rPr>
          <w:rFonts w:ascii="Verdana" w:hAnsi="Verdana" w:cs="Times New Roman"/>
          <w:sz w:val="20"/>
          <w:lang w:val="en-NZ"/>
        </w:rPr>
        <w:t xml:space="preserve"> D</w:t>
      </w:r>
      <w:r w:rsidR="00A51190">
        <w:rPr>
          <w:rFonts w:ascii="Verdana" w:hAnsi="Verdana" w:cs="Times New Roman"/>
          <w:sz w:val="20"/>
          <w:lang w:val="en-NZ"/>
        </w:rPr>
        <w:t xml:space="preserve">isability </w:t>
      </w:r>
      <w:r w:rsidR="004A11CF">
        <w:rPr>
          <w:rFonts w:ascii="Verdana" w:hAnsi="Verdana" w:cs="Times New Roman"/>
          <w:sz w:val="20"/>
          <w:lang w:val="en-NZ"/>
        </w:rPr>
        <w:t>Programme</w:t>
      </w:r>
      <w:r>
        <w:rPr>
          <w:rFonts w:ascii="Verdana" w:hAnsi="Verdana" w:cs="Times New Roman"/>
          <w:sz w:val="20"/>
          <w:lang w:val="en-NZ"/>
        </w:rPr>
        <w:t xml:space="preserve"> milestones have been</w:t>
      </w:r>
      <w:r w:rsidR="00A51190">
        <w:rPr>
          <w:rFonts w:ascii="Verdana" w:hAnsi="Verdana" w:cs="Times New Roman"/>
          <w:sz w:val="20"/>
          <w:lang w:val="en-NZ"/>
        </w:rPr>
        <w:t xml:space="preserve"> achieved</w:t>
      </w:r>
      <w:r w:rsidR="00E90D51">
        <w:rPr>
          <w:rFonts w:ascii="Verdana" w:hAnsi="Verdana" w:cs="Times New Roman"/>
          <w:sz w:val="20"/>
          <w:lang w:val="en-NZ"/>
        </w:rPr>
        <w:t>.</w:t>
      </w:r>
    </w:p>
    <w:p w:rsidR="00BB556E" w:rsidRPr="00BB556E" w:rsidRDefault="00BB556E" w:rsidP="00A84D81">
      <w:pPr>
        <w:spacing w:before="240" w:after="0"/>
        <w:rPr>
          <w:rFonts w:ascii="Verdana" w:hAnsi="Verdana"/>
          <w:color w:val="365F91" w:themeColor="accent1" w:themeShade="BF"/>
          <w:lang w:eastAsia="zh-TW"/>
        </w:rPr>
      </w:pPr>
      <w:r>
        <w:rPr>
          <w:rFonts w:ascii="Verdana" w:hAnsi="Verdana"/>
          <w:color w:val="365F91" w:themeColor="accent1" w:themeShade="BF"/>
          <w:lang w:eastAsia="zh-TW"/>
        </w:rPr>
        <w:t>Update</w:t>
      </w:r>
      <w:r w:rsidRPr="00BB556E">
        <w:rPr>
          <w:rFonts w:ascii="Verdana" w:hAnsi="Verdana"/>
          <w:color w:val="365F91" w:themeColor="accent1" w:themeShade="BF"/>
          <w:lang w:eastAsia="zh-TW"/>
        </w:rPr>
        <w:t>:</w:t>
      </w:r>
    </w:p>
    <w:p w:rsidR="008A640E" w:rsidRPr="008A640E" w:rsidRDefault="00B37912" w:rsidP="008A640E">
      <w:pPr>
        <w:pStyle w:val="ListParagraph"/>
        <w:numPr>
          <w:ilvl w:val="0"/>
          <w:numId w:val="35"/>
        </w:numPr>
        <w:spacing w:line="240" w:lineRule="auto"/>
        <w:ind w:left="284" w:hanging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Equity Office is p</w:t>
      </w:r>
      <w:r w:rsidR="00CA4DE7">
        <w:rPr>
          <w:rFonts w:ascii="Verdana" w:hAnsi="Verdana"/>
          <w:sz w:val="20"/>
          <w:szCs w:val="20"/>
        </w:rPr>
        <w:t>rogressing the Disability Programme work streams</w:t>
      </w:r>
      <w:r w:rsidR="00A83A7A">
        <w:rPr>
          <w:rFonts w:ascii="Verdana" w:hAnsi="Verdana"/>
          <w:sz w:val="20"/>
          <w:szCs w:val="20"/>
        </w:rPr>
        <w:t xml:space="preserve"> (culture, work/study environment; physical environment; communications and digital accessibility)</w:t>
      </w:r>
    </w:p>
    <w:p w:rsidR="00766E61" w:rsidRPr="00E704D6" w:rsidRDefault="00DE4384" w:rsidP="004133CA">
      <w:pPr>
        <w:pStyle w:val="ListParagraph"/>
        <w:numPr>
          <w:ilvl w:val="0"/>
          <w:numId w:val="35"/>
        </w:numPr>
        <w:spacing w:after="120" w:line="240" w:lineRule="auto"/>
        <w:ind w:left="284" w:hanging="284"/>
        <w:rPr>
          <w:rFonts w:ascii="Verdana" w:hAnsi="Verdana" w:cs="Times New Roman"/>
          <w:sz w:val="20"/>
        </w:rPr>
      </w:pPr>
      <w:r w:rsidRPr="00A30FAD">
        <w:rPr>
          <w:rFonts w:ascii="Verdana" w:hAnsi="Verdana"/>
          <w:sz w:val="20"/>
          <w:szCs w:val="20"/>
        </w:rPr>
        <w:t>Student</w:t>
      </w:r>
      <w:r w:rsidR="00766E61" w:rsidRPr="00A30FAD">
        <w:rPr>
          <w:rFonts w:ascii="Verdana" w:hAnsi="Verdana"/>
          <w:sz w:val="20"/>
          <w:szCs w:val="20"/>
        </w:rPr>
        <w:t xml:space="preserve"> </w:t>
      </w:r>
      <w:r w:rsidRPr="00A30FAD">
        <w:rPr>
          <w:rFonts w:ascii="Verdana" w:hAnsi="Verdana"/>
          <w:sz w:val="20"/>
          <w:szCs w:val="20"/>
        </w:rPr>
        <w:t>Disability</w:t>
      </w:r>
      <w:r w:rsidR="00766E61" w:rsidRPr="00A30FAD">
        <w:rPr>
          <w:rFonts w:ascii="Verdana" w:hAnsi="Verdana"/>
          <w:sz w:val="20"/>
          <w:szCs w:val="20"/>
        </w:rPr>
        <w:t xml:space="preserve"> Services </w:t>
      </w:r>
      <w:r w:rsidRPr="00A30FAD">
        <w:rPr>
          <w:rFonts w:ascii="Verdana" w:hAnsi="Verdana"/>
          <w:sz w:val="20"/>
          <w:szCs w:val="20"/>
        </w:rPr>
        <w:t>p</w:t>
      </w:r>
      <w:r w:rsidR="00766E61" w:rsidRPr="00A30FAD">
        <w:rPr>
          <w:rFonts w:ascii="Verdana" w:hAnsi="Verdana"/>
          <w:sz w:val="20"/>
          <w:szCs w:val="20"/>
        </w:rPr>
        <w:t xml:space="preserve">rovides a wide range of support for students with disabilities and impairments </w:t>
      </w:r>
    </w:p>
    <w:p w:rsidR="00E704D6" w:rsidRPr="00A30FAD" w:rsidRDefault="00E704D6" w:rsidP="004133CA">
      <w:pPr>
        <w:pStyle w:val="ListParagraph"/>
        <w:numPr>
          <w:ilvl w:val="0"/>
          <w:numId w:val="35"/>
        </w:numPr>
        <w:spacing w:after="120" w:line="240" w:lineRule="auto"/>
        <w:ind w:left="284" w:hanging="284"/>
        <w:rPr>
          <w:rFonts w:ascii="Verdana" w:hAnsi="Verdana" w:cs="Times New Roman"/>
          <w:sz w:val="20"/>
        </w:rPr>
      </w:pPr>
      <w:r>
        <w:rPr>
          <w:rFonts w:ascii="Verdana" w:hAnsi="Verdana"/>
          <w:sz w:val="20"/>
          <w:szCs w:val="20"/>
        </w:rPr>
        <w:t>Staff with disabilities are provided with support including mobility parking and arrangements tailored to personal needs</w:t>
      </w:r>
      <w:r w:rsidR="00E90D51">
        <w:rPr>
          <w:rFonts w:ascii="Verdana" w:hAnsi="Verdana"/>
          <w:sz w:val="20"/>
          <w:szCs w:val="20"/>
        </w:rPr>
        <w:t>.</w:t>
      </w:r>
    </w:p>
    <w:p w:rsidR="00E704D6" w:rsidRDefault="00E704D6">
      <w:pPr>
        <w:rPr>
          <w:rFonts w:ascii="Verdana" w:hAnsi="Verdana"/>
          <w:b/>
          <w:color w:val="365F91" w:themeColor="accent1" w:themeShade="BF"/>
          <w:sz w:val="28"/>
          <w:szCs w:val="32"/>
          <w:lang w:val="en-NZ"/>
        </w:rPr>
      </w:pPr>
      <w:r>
        <w:rPr>
          <w:rFonts w:ascii="Verdana" w:hAnsi="Verdana"/>
          <w:b/>
          <w:color w:val="365F91" w:themeColor="accent1" w:themeShade="BF"/>
          <w:sz w:val="28"/>
          <w:szCs w:val="32"/>
          <w:lang w:val="en-NZ"/>
        </w:rPr>
        <w:br w:type="page"/>
      </w:r>
    </w:p>
    <w:p w:rsidR="0006772F" w:rsidRDefault="0006772F" w:rsidP="00CD1A31">
      <w:pPr>
        <w:rPr>
          <w:rFonts w:ascii="Verdana" w:hAnsi="Verdana"/>
          <w:b/>
          <w:color w:val="365F91" w:themeColor="accent1" w:themeShade="BF"/>
          <w:sz w:val="28"/>
          <w:szCs w:val="32"/>
          <w:lang w:val="en-NZ"/>
        </w:rPr>
        <w:sectPr w:rsidR="0006772F" w:rsidSect="0006772F">
          <w:headerReference w:type="default" r:id="rId9"/>
          <w:footerReference w:type="default" r:id="rId10"/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</w:p>
    <w:p w:rsidR="00E65347" w:rsidRPr="00F07645" w:rsidRDefault="00913BC1" w:rsidP="00CD1A31">
      <w:pPr>
        <w:rPr>
          <w:rFonts w:ascii="Verdana" w:hAnsi="Verdana"/>
          <w:b/>
          <w:color w:val="365F91" w:themeColor="accent1" w:themeShade="BF"/>
          <w:sz w:val="28"/>
          <w:szCs w:val="32"/>
          <w:lang w:val="en-NZ"/>
        </w:rPr>
      </w:pPr>
      <w:r>
        <w:rPr>
          <w:rFonts w:ascii="Verdana" w:hAnsi="Verdana"/>
          <w:b/>
          <w:color w:val="365F91" w:themeColor="accent1" w:themeShade="BF"/>
          <w:sz w:val="28"/>
          <w:szCs w:val="32"/>
          <w:lang w:val="en-NZ"/>
        </w:rPr>
        <w:lastRenderedPageBreak/>
        <w:t>Section 2</w:t>
      </w:r>
      <w:r w:rsidRPr="00FB0706">
        <w:rPr>
          <w:rFonts w:ascii="Verdana" w:hAnsi="Verdana"/>
          <w:b/>
          <w:color w:val="365F91" w:themeColor="accent1" w:themeShade="BF"/>
          <w:sz w:val="28"/>
          <w:szCs w:val="32"/>
          <w:lang w:val="en-NZ"/>
        </w:rPr>
        <w:t xml:space="preserve">: </w:t>
      </w:r>
      <w:r w:rsidRPr="00913BC1">
        <w:rPr>
          <w:rFonts w:ascii="Verdana" w:hAnsi="Verdana"/>
          <w:b/>
          <w:color w:val="365F91" w:themeColor="accent1" w:themeShade="BF"/>
          <w:sz w:val="28"/>
          <w:szCs w:val="32"/>
          <w:lang w:val="en-NZ"/>
        </w:rPr>
        <w:t>Monitoring performance related to the University’s strategic objectives</w:t>
      </w:r>
      <w:r>
        <w:rPr>
          <w:rFonts w:ascii="Verdana" w:hAnsi="Verdana"/>
          <w:b/>
          <w:color w:val="365F91" w:themeColor="accent1" w:themeShade="BF"/>
          <w:sz w:val="28"/>
          <w:szCs w:val="32"/>
          <w:lang w:val="en-NZ"/>
        </w:rPr>
        <w:t xml:space="preserve"> (Budget 2017 &amp; Forecast 2018-2019</w:t>
      </w:r>
      <w:r w:rsidRPr="00913BC1">
        <w:rPr>
          <w:rFonts w:ascii="Verdana" w:hAnsi="Verdana"/>
          <w:b/>
          <w:color w:val="365F91" w:themeColor="accent1" w:themeShade="BF"/>
          <w:sz w:val="28"/>
          <w:szCs w:val="32"/>
          <w:lang w:val="en-NZ"/>
        </w:rPr>
        <w:t>)</w:t>
      </w:r>
    </w:p>
    <w:tbl>
      <w:tblPr>
        <w:tblW w:w="14466" w:type="dxa"/>
        <w:tblInd w:w="-600" w:type="dxa"/>
        <w:tblLayout w:type="fixed"/>
        <w:tblLook w:val="04A0" w:firstRow="1" w:lastRow="0" w:firstColumn="1" w:lastColumn="0" w:noHBand="0" w:noVBand="1"/>
      </w:tblPr>
      <w:tblGrid>
        <w:gridCol w:w="14466"/>
      </w:tblGrid>
      <w:tr w:rsidR="00F07645" w:rsidRPr="00972CA1" w:rsidTr="00F07645">
        <w:trPr>
          <w:trHeight w:val="458"/>
        </w:trPr>
        <w:tc>
          <w:tcPr>
            <w:tcW w:w="14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FF"/>
            <w:noWrap/>
            <w:vAlign w:val="center"/>
            <w:hideMark/>
          </w:tcPr>
          <w:p w:rsidR="00F07645" w:rsidRPr="00972CA1" w:rsidRDefault="00F07645" w:rsidP="00357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val="en-NZ" w:eastAsia="en-N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val="en-NZ" w:eastAsia="en-NZ"/>
              </w:rPr>
              <w:t xml:space="preserve">Service Division </w:t>
            </w:r>
            <w:r w:rsidR="0035700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val="en-NZ" w:eastAsia="en-NZ"/>
              </w:rPr>
              <w:t>Report</w:t>
            </w:r>
          </w:p>
        </w:tc>
      </w:tr>
    </w:tbl>
    <w:p w:rsidR="00F07645" w:rsidRPr="00F07645" w:rsidRDefault="00F07645">
      <w:pPr>
        <w:rPr>
          <w:sz w:val="2"/>
        </w:rPr>
      </w:pPr>
    </w:p>
    <w:tbl>
      <w:tblPr>
        <w:tblW w:w="14770" w:type="dxa"/>
        <w:tblInd w:w="-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2835"/>
        <w:gridCol w:w="2126"/>
        <w:gridCol w:w="2202"/>
        <w:gridCol w:w="1276"/>
        <w:gridCol w:w="1228"/>
        <w:gridCol w:w="1134"/>
        <w:gridCol w:w="1134"/>
      </w:tblGrid>
      <w:tr w:rsidR="00F07645" w:rsidRPr="00972CA1" w:rsidTr="00BE2261">
        <w:trPr>
          <w:trHeight w:val="599"/>
          <w:tblHeader/>
        </w:trPr>
        <w:tc>
          <w:tcPr>
            <w:tcW w:w="1276" w:type="dxa"/>
            <w:vMerge w:val="restart"/>
            <w:shd w:val="clear" w:color="000000" w:fill="CCFFFF"/>
            <w:vAlign w:val="center"/>
            <w:hideMark/>
          </w:tcPr>
          <w:p w:rsidR="00F07645" w:rsidRPr="00972CA1" w:rsidRDefault="00F07645" w:rsidP="00121A0B">
            <w:pPr>
              <w:spacing w:after="0" w:line="240" w:lineRule="auto"/>
              <w:ind w:left="-109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lang w:val="en-NZ" w:eastAsia="en-NZ"/>
              </w:rPr>
            </w:pPr>
            <w:r w:rsidRPr="00972CA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lang w:val="en-NZ" w:eastAsia="en-NZ"/>
              </w:rPr>
              <w:t>UniForum Code</w:t>
            </w:r>
          </w:p>
        </w:tc>
        <w:tc>
          <w:tcPr>
            <w:tcW w:w="1559" w:type="dxa"/>
            <w:vMerge w:val="restart"/>
            <w:shd w:val="clear" w:color="000000" w:fill="CCFFFF"/>
            <w:vAlign w:val="center"/>
            <w:hideMark/>
          </w:tcPr>
          <w:p w:rsidR="00F07645" w:rsidRPr="00972CA1" w:rsidRDefault="00F07645" w:rsidP="00121A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lang w:val="en-NZ" w:eastAsia="en-NZ"/>
              </w:rPr>
            </w:pPr>
            <w:r w:rsidRPr="00972CA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lang w:val="en-NZ" w:eastAsia="en-NZ"/>
              </w:rPr>
              <w:t>Core Function</w:t>
            </w:r>
          </w:p>
        </w:tc>
        <w:tc>
          <w:tcPr>
            <w:tcW w:w="2835" w:type="dxa"/>
            <w:vMerge w:val="restart"/>
            <w:shd w:val="clear" w:color="000000" w:fill="CCFFFF"/>
            <w:vAlign w:val="center"/>
            <w:hideMark/>
          </w:tcPr>
          <w:p w:rsidR="00F07645" w:rsidRPr="00972CA1" w:rsidRDefault="00F07645" w:rsidP="00121A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lang w:val="en-NZ" w:eastAsia="en-NZ"/>
              </w:rPr>
            </w:pPr>
            <w:r w:rsidRPr="00972CA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lang w:val="en-NZ" w:eastAsia="en-NZ"/>
              </w:rPr>
              <w:t>Function Performance Story and Current State/Opportunities</w:t>
            </w:r>
          </w:p>
        </w:tc>
        <w:tc>
          <w:tcPr>
            <w:tcW w:w="2126" w:type="dxa"/>
            <w:vMerge w:val="restart"/>
            <w:shd w:val="clear" w:color="000000" w:fill="CCFFFF"/>
            <w:vAlign w:val="center"/>
            <w:hideMark/>
          </w:tcPr>
          <w:p w:rsidR="00F07645" w:rsidRPr="00972CA1" w:rsidRDefault="00F07645" w:rsidP="00121A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lang w:val="en-NZ" w:eastAsia="en-N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lang w:val="en-NZ" w:eastAsia="en-NZ"/>
              </w:rPr>
              <w:t>Priorities 2016 - 2019</w:t>
            </w:r>
            <w:r w:rsidRPr="00972CA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lang w:val="en-NZ" w:eastAsia="en-NZ"/>
              </w:rPr>
              <w:br/>
            </w:r>
            <w:r w:rsidRPr="00972CA1">
              <w:rPr>
                <w:rFonts w:ascii="Calibri" w:eastAsia="Times New Roman" w:hAnsi="Calibri" w:cs="Times New Roman"/>
                <w:color w:val="000000"/>
                <w:sz w:val="16"/>
                <w:lang w:val="en-NZ" w:eastAsia="en-NZ"/>
              </w:rPr>
              <w:t>(highlight the priorities that are focused to shift)</w:t>
            </w:r>
          </w:p>
        </w:tc>
        <w:tc>
          <w:tcPr>
            <w:tcW w:w="2202" w:type="dxa"/>
            <w:vMerge w:val="restart"/>
            <w:shd w:val="clear" w:color="000000" w:fill="CCFFFF"/>
            <w:vAlign w:val="center"/>
            <w:hideMark/>
          </w:tcPr>
          <w:p w:rsidR="00F07645" w:rsidRPr="00972CA1" w:rsidRDefault="00F07645" w:rsidP="00121A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lang w:val="en-NZ" w:eastAsia="en-NZ"/>
              </w:rPr>
            </w:pPr>
            <w:r w:rsidRPr="00972CA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lang w:val="en-NZ" w:eastAsia="en-NZ"/>
              </w:rPr>
              <w:t>Relevant KPIs</w:t>
            </w:r>
          </w:p>
        </w:tc>
        <w:tc>
          <w:tcPr>
            <w:tcW w:w="1276" w:type="dxa"/>
            <w:vMerge w:val="restart"/>
            <w:shd w:val="clear" w:color="000000" w:fill="CCFFFF"/>
            <w:vAlign w:val="center"/>
            <w:hideMark/>
          </w:tcPr>
          <w:p w:rsidR="00F07645" w:rsidRPr="00972CA1" w:rsidRDefault="00F07645" w:rsidP="00933F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lang w:val="en-NZ" w:eastAsia="en-N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lang w:val="en-NZ" w:eastAsia="en-NZ"/>
              </w:rPr>
              <w:t>2016</w:t>
            </w:r>
            <w:r w:rsidRPr="00972CA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lang w:val="en-NZ" w:eastAsia="en-NZ"/>
              </w:rPr>
              <w:t xml:space="preserve"> </w:t>
            </w:r>
            <w:r w:rsidR="00933F0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lang w:val="en-NZ" w:eastAsia="en-NZ"/>
              </w:rPr>
              <w:t>Actual</w:t>
            </w:r>
          </w:p>
        </w:tc>
        <w:tc>
          <w:tcPr>
            <w:tcW w:w="1228" w:type="dxa"/>
            <w:vMerge w:val="restart"/>
            <w:shd w:val="clear" w:color="000000" w:fill="CCFFFF"/>
            <w:vAlign w:val="center"/>
            <w:hideMark/>
          </w:tcPr>
          <w:p w:rsidR="00F07645" w:rsidRPr="00972CA1" w:rsidRDefault="00F07645" w:rsidP="00121A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lang w:val="en-NZ" w:eastAsia="en-N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lang w:val="en-NZ" w:eastAsia="en-NZ"/>
              </w:rPr>
              <w:t>2017</w:t>
            </w:r>
            <w:r w:rsidRPr="00972CA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lang w:val="en-NZ" w:eastAsia="en-NZ"/>
              </w:rPr>
              <w:t xml:space="preserve"> </w:t>
            </w:r>
            <w:r w:rsidR="00933F0E" w:rsidRPr="00972CA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lang w:val="en-NZ" w:eastAsia="en-NZ"/>
              </w:rPr>
              <w:t>Target/</w:t>
            </w:r>
            <w:r w:rsidR="00933F0E" w:rsidRPr="00972CA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lang w:val="en-NZ" w:eastAsia="en-NZ"/>
              </w:rPr>
              <w:br/>
              <w:t>Forecast</w:t>
            </w:r>
          </w:p>
        </w:tc>
        <w:tc>
          <w:tcPr>
            <w:tcW w:w="1134" w:type="dxa"/>
            <w:vMerge w:val="restart"/>
            <w:shd w:val="clear" w:color="000000" w:fill="CCFFFF"/>
            <w:vAlign w:val="center"/>
            <w:hideMark/>
          </w:tcPr>
          <w:p w:rsidR="00F07645" w:rsidRPr="00972CA1" w:rsidRDefault="00F07645" w:rsidP="00121A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lang w:val="en-NZ" w:eastAsia="en-N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lang w:val="en-NZ" w:eastAsia="en-NZ"/>
              </w:rPr>
              <w:t>2018</w:t>
            </w:r>
            <w:r w:rsidRPr="00972CA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lang w:val="en-NZ" w:eastAsia="en-NZ"/>
              </w:rPr>
              <w:t xml:space="preserve"> Target</w:t>
            </w:r>
          </w:p>
        </w:tc>
        <w:tc>
          <w:tcPr>
            <w:tcW w:w="1134" w:type="dxa"/>
            <w:vMerge w:val="restart"/>
            <w:shd w:val="clear" w:color="000000" w:fill="CCFFFF"/>
            <w:vAlign w:val="center"/>
            <w:hideMark/>
          </w:tcPr>
          <w:p w:rsidR="00F07645" w:rsidRPr="00972CA1" w:rsidRDefault="00F07645" w:rsidP="00121A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lang w:val="en-NZ" w:eastAsia="en-N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lang w:val="en-NZ" w:eastAsia="en-NZ"/>
              </w:rPr>
              <w:t>2019</w:t>
            </w:r>
            <w:r w:rsidRPr="00972CA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lang w:val="en-NZ" w:eastAsia="en-NZ"/>
              </w:rPr>
              <w:t xml:space="preserve"> Target</w:t>
            </w:r>
          </w:p>
        </w:tc>
      </w:tr>
      <w:tr w:rsidR="00F07645" w:rsidRPr="00972CA1" w:rsidTr="00BE2261">
        <w:trPr>
          <w:trHeight w:val="584"/>
        </w:trPr>
        <w:tc>
          <w:tcPr>
            <w:tcW w:w="1276" w:type="dxa"/>
            <w:vMerge/>
            <w:vAlign w:val="center"/>
            <w:hideMark/>
          </w:tcPr>
          <w:p w:rsidR="00F07645" w:rsidRPr="00972CA1" w:rsidRDefault="00F07645" w:rsidP="00121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lang w:val="en-NZ" w:eastAsia="en-NZ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07645" w:rsidRPr="00972CA1" w:rsidRDefault="00F07645" w:rsidP="00121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lang w:val="en-NZ" w:eastAsia="en-NZ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F07645" w:rsidRPr="00972CA1" w:rsidRDefault="00F07645" w:rsidP="00121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lang w:val="en-NZ" w:eastAsia="en-NZ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F07645" w:rsidRPr="00972CA1" w:rsidRDefault="00F07645" w:rsidP="00121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lang w:val="en-NZ" w:eastAsia="en-NZ"/>
              </w:rPr>
            </w:pPr>
          </w:p>
        </w:tc>
        <w:tc>
          <w:tcPr>
            <w:tcW w:w="2202" w:type="dxa"/>
            <w:vMerge/>
            <w:vAlign w:val="center"/>
            <w:hideMark/>
          </w:tcPr>
          <w:p w:rsidR="00F07645" w:rsidRPr="00972CA1" w:rsidRDefault="00F07645" w:rsidP="00121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lang w:val="en-NZ" w:eastAsia="en-NZ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F07645" w:rsidRPr="00972CA1" w:rsidRDefault="00F07645" w:rsidP="00121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lang w:val="en-NZ" w:eastAsia="en-NZ"/>
              </w:rPr>
            </w:pPr>
          </w:p>
        </w:tc>
        <w:tc>
          <w:tcPr>
            <w:tcW w:w="1228" w:type="dxa"/>
            <w:vMerge/>
            <w:vAlign w:val="center"/>
            <w:hideMark/>
          </w:tcPr>
          <w:p w:rsidR="00F07645" w:rsidRPr="00972CA1" w:rsidRDefault="00F07645" w:rsidP="00121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lang w:val="en-NZ" w:eastAsia="en-NZ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07645" w:rsidRPr="00972CA1" w:rsidRDefault="00F07645" w:rsidP="00121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lang w:val="en-NZ" w:eastAsia="en-NZ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07645" w:rsidRPr="00972CA1" w:rsidRDefault="00F07645" w:rsidP="00121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lang w:val="en-NZ" w:eastAsia="en-NZ"/>
              </w:rPr>
            </w:pPr>
          </w:p>
        </w:tc>
      </w:tr>
      <w:tr w:rsidR="00F07645" w:rsidRPr="00972CA1" w:rsidTr="00BE2261">
        <w:trPr>
          <w:trHeight w:val="373"/>
        </w:trPr>
        <w:tc>
          <w:tcPr>
            <w:tcW w:w="14770" w:type="dxa"/>
            <w:gridSpan w:val="9"/>
            <w:shd w:val="clear" w:color="000000" w:fill="F2F2F2"/>
            <w:vAlign w:val="center"/>
            <w:hideMark/>
          </w:tcPr>
          <w:p w:rsidR="00F07645" w:rsidRPr="00FD6A6F" w:rsidRDefault="00F07645" w:rsidP="00121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NZ" w:eastAsia="en-NZ"/>
              </w:rPr>
            </w:pPr>
            <w:r w:rsidRPr="00FD6A6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NZ" w:eastAsia="en-NZ"/>
              </w:rPr>
              <w:t>People Strategies</w:t>
            </w:r>
            <w:r w:rsidR="00882FA0" w:rsidRPr="00FD6A6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NZ" w:eastAsia="en-NZ"/>
              </w:rPr>
              <w:t xml:space="preserve"> </w:t>
            </w:r>
          </w:p>
        </w:tc>
      </w:tr>
      <w:tr w:rsidR="00D6070E" w:rsidRPr="00972CA1" w:rsidTr="00BE2261">
        <w:trPr>
          <w:trHeight w:val="528"/>
        </w:trPr>
        <w:tc>
          <w:tcPr>
            <w:tcW w:w="1276" w:type="dxa"/>
            <w:vMerge w:val="restart"/>
            <w:shd w:val="clear" w:color="000000" w:fill="FCD5B4"/>
            <w:hideMark/>
          </w:tcPr>
          <w:p w:rsidR="00D6070E" w:rsidRPr="005E2F1D" w:rsidRDefault="00D6070E" w:rsidP="00167AB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NZ" w:eastAsia="en-NZ"/>
              </w:rPr>
            </w:pPr>
            <w:r w:rsidRPr="005E2F1D">
              <w:rPr>
                <w:rFonts w:ascii="Calibri" w:eastAsia="Times New Roman" w:hAnsi="Calibri" w:cs="Times New Roman"/>
                <w:sz w:val="20"/>
                <w:szCs w:val="20"/>
                <w:lang w:val="en-NZ" w:eastAsia="en-NZ"/>
              </w:rPr>
              <w:t>GO07</w:t>
            </w:r>
          </w:p>
          <w:p w:rsidR="00D6070E" w:rsidRPr="005E2F1D" w:rsidRDefault="00D6070E" w:rsidP="00167AB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NZ" w:eastAsia="en-NZ"/>
              </w:rPr>
            </w:pPr>
            <w:r w:rsidRPr="005E2F1D">
              <w:rPr>
                <w:rFonts w:ascii="Calibri" w:eastAsia="Times New Roman" w:hAnsi="Calibri" w:cs="Times New Roman"/>
                <w:sz w:val="20"/>
                <w:szCs w:val="20"/>
                <w:lang w:val="en-NZ" w:eastAsia="en-NZ"/>
              </w:rPr>
              <w:t>F105</w:t>
            </w:r>
          </w:p>
          <w:p w:rsidR="00D6070E" w:rsidRPr="005E2F1D" w:rsidRDefault="00D6070E" w:rsidP="00167AB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NZ" w:eastAsia="en-NZ"/>
              </w:rPr>
            </w:pPr>
            <w:r w:rsidRPr="005E2F1D">
              <w:rPr>
                <w:rFonts w:ascii="Calibri" w:eastAsia="Times New Roman" w:hAnsi="Calibri" w:cs="Times New Roman"/>
                <w:sz w:val="20"/>
                <w:szCs w:val="20"/>
                <w:lang w:val="en-NZ" w:eastAsia="en-NZ"/>
              </w:rPr>
              <w:t>GA05</w:t>
            </w:r>
          </w:p>
          <w:p w:rsidR="00D6070E" w:rsidRPr="005E2F1D" w:rsidRDefault="00D6070E" w:rsidP="00167AB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NZ" w:eastAsia="en-NZ"/>
              </w:rPr>
            </w:pPr>
            <w:r w:rsidRPr="005E2F1D">
              <w:rPr>
                <w:rFonts w:ascii="Calibri" w:eastAsia="Times New Roman" w:hAnsi="Calibri" w:cs="Times New Roman"/>
                <w:sz w:val="20"/>
                <w:szCs w:val="20"/>
                <w:lang w:val="en-NZ" w:eastAsia="en-NZ"/>
              </w:rPr>
              <w:t>GO01</w:t>
            </w:r>
          </w:p>
          <w:p w:rsidR="00D6070E" w:rsidRPr="005E2F1D" w:rsidRDefault="00D6070E" w:rsidP="00167AB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NZ" w:eastAsia="en-NZ"/>
              </w:rPr>
            </w:pPr>
            <w:r w:rsidRPr="005E2F1D">
              <w:rPr>
                <w:rFonts w:ascii="Calibri" w:eastAsia="Times New Roman" w:hAnsi="Calibri" w:cs="Times New Roman"/>
                <w:sz w:val="20"/>
                <w:szCs w:val="20"/>
                <w:lang w:val="en-NZ" w:eastAsia="en-NZ"/>
              </w:rPr>
              <w:t>GO02</w:t>
            </w:r>
          </w:p>
          <w:p w:rsidR="00D6070E" w:rsidRPr="005E2F1D" w:rsidRDefault="00D6070E" w:rsidP="00167AB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NZ" w:eastAsia="en-NZ"/>
              </w:rPr>
            </w:pPr>
            <w:r w:rsidRPr="005E2F1D">
              <w:rPr>
                <w:rFonts w:ascii="Calibri" w:eastAsia="Times New Roman" w:hAnsi="Calibri" w:cs="Times New Roman"/>
                <w:sz w:val="20"/>
                <w:szCs w:val="20"/>
                <w:lang w:val="en-NZ" w:eastAsia="en-NZ"/>
              </w:rPr>
              <w:t>GO03</w:t>
            </w:r>
          </w:p>
          <w:p w:rsidR="00D6070E" w:rsidRPr="005E2F1D" w:rsidRDefault="00D6070E" w:rsidP="00167AB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NZ" w:eastAsia="en-NZ"/>
              </w:rPr>
            </w:pPr>
            <w:r w:rsidRPr="005E2F1D">
              <w:rPr>
                <w:rFonts w:ascii="Calibri" w:eastAsia="Times New Roman" w:hAnsi="Calibri" w:cs="Times New Roman"/>
                <w:sz w:val="20"/>
                <w:szCs w:val="20"/>
                <w:lang w:val="en-NZ" w:eastAsia="en-NZ"/>
              </w:rPr>
              <w:t>GO05</w:t>
            </w:r>
          </w:p>
          <w:p w:rsidR="00D6070E" w:rsidRPr="005E2F1D" w:rsidRDefault="00D6070E" w:rsidP="00167AB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NZ" w:eastAsia="en-NZ"/>
              </w:rPr>
            </w:pPr>
            <w:r w:rsidRPr="005E2F1D">
              <w:rPr>
                <w:rFonts w:ascii="Calibri" w:eastAsia="Times New Roman" w:hAnsi="Calibri" w:cs="Times New Roman"/>
                <w:sz w:val="20"/>
                <w:szCs w:val="20"/>
                <w:lang w:val="en-NZ" w:eastAsia="en-NZ"/>
              </w:rPr>
              <w:t>GO06</w:t>
            </w:r>
            <w:r w:rsidRPr="005E2F1D">
              <w:rPr>
                <w:rFonts w:ascii="Calibri" w:eastAsia="Times New Roman" w:hAnsi="Calibri" w:cs="Times New Roman"/>
                <w:sz w:val="20"/>
                <w:szCs w:val="20"/>
                <w:lang w:val="en-NZ" w:eastAsia="en-NZ"/>
              </w:rPr>
              <w:br/>
              <w:t>GO07</w:t>
            </w:r>
          </w:p>
          <w:p w:rsidR="00D6070E" w:rsidRPr="005E2F1D" w:rsidRDefault="00D6070E" w:rsidP="00167AB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NZ" w:eastAsia="en-NZ"/>
              </w:rPr>
            </w:pPr>
            <w:r w:rsidRPr="005E2F1D">
              <w:rPr>
                <w:rFonts w:ascii="Calibri" w:eastAsia="Times New Roman" w:hAnsi="Calibri" w:cs="Times New Roman"/>
                <w:sz w:val="20"/>
                <w:szCs w:val="20"/>
                <w:lang w:val="en-NZ" w:eastAsia="en-NZ"/>
              </w:rPr>
              <w:t>GO09</w:t>
            </w:r>
          </w:p>
          <w:p w:rsidR="00D6070E" w:rsidRPr="005E2F1D" w:rsidRDefault="00D6070E" w:rsidP="00167AB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NZ" w:eastAsia="en-NZ"/>
              </w:rPr>
            </w:pPr>
            <w:r w:rsidRPr="005E2F1D">
              <w:rPr>
                <w:rFonts w:ascii="Calibri" w:eastAsia="Times New Roman" w:hAnsi="Calibri" w:cs="Times New Roman"/>
                <w:sz w:val="20"/>
                <w:szCs w:val="20"/>
                <w:lang w:val="en-NZ" w:eastAsia="en-NZ"/>
              </w:rPr>
              <w:t>G012</w:t>
            </w:r>
          </w:p>
          <w:p w:rsidR="00D6070E" w:rsidRPr="00882FA0" w:rsidRDefault="00D6070E" w:rsidP="00167A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val="en-NZ" w:eastAsia="en-NZ"/>
              </w:rPr>
            </w:pPr>
          </w:p>
          <w:p w:rsidR="00D6070E" w:rsidRPr="00882FA0" w:rsidRDefault="00D6070E" w:rsidP="00167A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val="en-NZ" w:eastAsia="en-NZ"/>
              </w:rPr>
            </w:pPr>
          </w:p>
        </w:tc>
        <w:tc>
          <w:tcPr>
            <w:tcW w:w="1559" w:type="dxa"/>
            <w:vMerge w:val="restart"/>
            <w:shd w:val="clear" w:color="000000" w:fill="FFFFFF"/>
            <w:hideMark/>
          </w:tcPr>
          <w:p w:rsidR="00D6070E" w:rsidRPr="005E2F1D" w:rsidRDefault="00D6070E" w:rsidP="00167AB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NZ" w:eastAsia="en-NZ"/>
              </w:rPr>
            </w:pPr>
            <w:r w:rsidRPr="005E2F1D">
              <w:rPr>
                <w:rFonts w:ascii="Calibri" w:eastAsia="Times New Roman" w:hAnsi="Calibri" w:cs="Times New Roman"/>
                <w:sz w:val="20"/>
                <w:szCs w:val="20"/>
                <w:lang w:val="en-NZ" w:eastAsia="en-NZ"/>
              </w:rPr>
              <w:t>Functional Strategy (People)</w:t>
            </w:r>
            <w:r w:rsidRPr="005E2F1D">
              <w:rPr>
                <w:rFonts w:ascii="Calibri" w:eastAsia="Times New Roman" w:hAnsi="Calibri" w:cs="Times New Roman"/>
                <w:sz w:val="20"/>
                <w:szCs w:val="20"/>
                <w:lang w:val="en-NZ" w:eastAsia="en-NZ"/>
              </w:rPr>
              <w:br/>
              <w:t>Staff Equity</w:t>
            </w:r>
            <w:r w:rsidRPr="005E2F1D">
              <w:rPr>
                <w:rFonts w:ascii="Calibri" w:eastAsia="Times New Roman" w:hAnsi="Calibri" w:cs="Times New Roman"/>
                <w:sz w:val="20"/>
                <w:szCs w:val="20"/>
                <w:lang w:val="en-NZ" w:eastAsia="en-NZ"/>
              </w:rPr>
              <w:br/>
              <w:t>Staff Performance</w:t>
            </w:r>
            <w:r w:rsidRPr="005E2F1D">
              <w:rPr>
                <w:rFonts w:ascii="Calibri" w:eastAsia="Times New Roman" w:hAnsi="Calibri" w:cs="Times New Roman"/>
                <w:sz w:val="20"/>
                <w:szCs w:val="20"/>
                <w:lang w:val="en-NZ" w:eastAsia="en-NZ"/>
              </w:rPr>
              <w:br/>
              <w:t>Health &amp; Safety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6070E" w:rsidRPr="005E2F1D" w:rsidRDefault="00D6070E" w:rsidP="00D607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NZ" w:eastAsia="en-NZ"/>
              </w:rPr>
            </w:pPr>
            <w:r w:rsidRPr="005E2F1D">
              <w:rPr>
                <w:rFonts w:ascii="Calibri" w:eastAsia="Times New Roman" w:hAnsi="Calibri" w:cs="Times New Roman"/>
                <w:b/>
                <w:bCs/>
                <w:color w:val="4F81BD"/>
                <w:sz w:val="20"/>
                <w:szCs w:val="20"/>
                <w:lang w:val="en-NZ" w:eastAsia="en-NZ"/>
              </w:rPr>
              <w:t>Current performance rating</w:t>
            </w:r>
            <w:r w:rsidRPr="005E2F1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NZ" w:eastAsia="en-NZ"/>
              </w:rPr>
              <w:t xml:space="preserve">: 4     </w:t>
            </w:r>
            <w:r w:rsidRPr="005E2F1D">
              <w:rPr>
                <w:rFonts w:ascii="Calibri" w:eastAsia="Times New Roman" w:hAnsi="Calibri" w:cs="Times New Roman"/>
                <w:b/>
                <w:bCs/>
                <w:color w:val="4F81BD"/>
                <w:sz w:val="20"/>
                <w:szCs w:val="20"/>
                <w:lang w:val="en-NZ" w:eastAsia="en-NZ"/>
              </w:rPr>
              <w:t>Future performance rating</w:t>
            </w:r>
            <w:r w:rsidRPr="005E2F1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NZ" w:eastAsia="en-NZ"/>
              </w:rPr>
              <w:t>:  5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D6070E" w:rsidRPr="005E2F1D" w:rsidRDefault="00D6070E" w:rsidP="00167AB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NZ" w:eastAsia="en-NZ"/>
              </w:rPr>
            </w:pPr>
            <w:r w:rsidRPr="005E2F1D">
              <w:rPr>
                <w:rFonts w:ascii="Calibri" w:eastAsia="Times New Roman" w:hAnsi="Calibri" w:cs="Times New Roman"/>
                <w:sz w:val="20"/>
                <w:szCs w:val="20"/>
                <w:lang w:val="en-NZ" w:eastAsia="en-NZ"/>
              </w:rPr>
              <w:t xml:space="preserve">Increasing the internal profile of </w:t>
            </w:r>
            <w:r w:rsidR="00AE63F0">
              <w:rPr>
                <w:rFonts w:ascii="Calibri" w:eastAsia="Times New Roman" w:hAnsi="Calibri" w:cs="Times New Roman"/>
                <w:sz w:val="20"/>
                <w:szCs w:val="20"/>
                <w:lang w:val="en-NZ" w:eastAsia="en-NZ"/>
              </w:rPr>
              <w:t xml:space="preserve">the </w:t>
            </w:r>
            <w:r w:rsidR="00175830">
              <w:rPr>
                <w:rFonts w:ascii="Calibri" w:eastAsia="Times New Roman" w:hAnsi="Calibri" w:cs="Times New Roman"/>
                <w:sz w:val="20"/>
                <w:szCs w:val="20"/>
                <w:lang w:val="en-NZ" w:eastAsia="en-NZ"/>
              </w:rPr>
              <w:t>EO</w:t>
            </w:r>
            <w:r w:rsidRPr="005E2F1D">
              <w:rPr>
                <w:rFonts w:ascii="Calibri" w:eastAsia="Times New Roman" w:hAnsi="Calibri" w:cs="Times New Roman"/>
                <w:sz w:val="20"/>
                <w:szCs w:val="20"/>
                <w:lang w:val="en-NZ" w:eastAsia="en-NZ"/>
              </w:rPr>
              <w:t xml:space="preserve"> </w:t>
            </w:r>
            <w:r w:rsidR="00175830">
              <w:rPr>
                <w:rFonts w:ascii="Calibri" w:eastAsia="Times New Roman" w:hAnsi="Calibri" w:cs="Times New Roman"/>
                <w:sz w:val="20"/>
                <w:szCs w:val="20"/>
                <w:lang w:val="en-NZ" w:eastAsia="en-NZ"/>
              </w:rPr>
              <w:t>HSW</w:t>
            </w:r>
            <w:r w:rsidRPr="005E2F1D">
              <w:rPr>
                <w:rFonts w:ascii="Calibri" w:eastAsia="Times New Roman" w:hAnsi="Calibri" w:cs="Times New Roman"/>
                <w:sz w:val="20"/>
                <w:szCs w:val="20"/>
                <w:lang w:val="en-NZ" w:eastAsia="en-NZ"/>
              </w:rPr>
              <w:t xml:space="preserve"> Comm</w:t>
            </w:r>
            <w:r w:rsidR="00747170">
              <w:rPr>
                <w:rFonts w:ascii="Calibri" w:eastAsia="Times New Roman" w:hAnsi="Calibri" w:cs="Times New Roman"/>
                <w:sz w:val="20"/>
                <w:szCs w:val="20"/>
                <w:lang w:val="en-NZ" w:eastAsia="en-NZ"/>
              </w:rPr>
              <w:t xml:space="preserve">ittee and promoting </w:t>
            </w:r>
            <w:r w:rsidR="00AE63F0">
              <w:rPr>
                <w:rFonts w:ascii="Calibri" w:eastAsia="Times New Roman" w:hAnsi="Calibri" w:cs="Times New Roman"/>
                <w:sz w:val="20"/>
                <w:szCs w:val="20"/>
                <w:lang w:val="en-NZ" w:eastAsia="en-NZ"/>
              </w:rPr>
              <w:t>work /</w:t>
            </w:r>
            <w:r w:rsidR="00747170">
              <w:rPr>
                <w:rFonts w:ascii="Calibri" w:eastAsia="Times New Roman" w:hAnsi="Calibri" w:cs="Times New Roman"/>
                <w:sz w:val="20"/>
                <w:szCs w:val="20"/>
                <w:lang w:val="en-NZ" w:eastAsia="en-NZ"/>
              </w:rPr>
              <w:t xml:space="preserve"> life</w:t>
            </w:r>
            <w:r w:rsidRPr="005E2F1D">
              <w:rPr>
                <w:rFonts w:ascii="Calibri" w:eastAsia="Times New Roman" w:hAnsi="Calibri" w:cs="Times New Roman"/>
                <w:sz w:val="20"/>
                <w:szCs w:val="20"/>
                <w:lang w:val="en-NZ" w:eastAsia="en-NZ"/>
              </w:rPr>
              <w:t xml:space="preserve"> balance.</w:t>
            </w:r>
          </w:p>
          <w:p w:rsidR="00D6070E" w:rsidRDefault="00D6070E" w:rsidP="00167AB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NZ" w:eastAsia="en-NZ"/>
              </w:rPr>
            </w:pPr>
          </w:p>
          <w:p w:rsidR="00FD6A6F" w:rsidRDefault="00FD6A6F" w:rsidP="00167AB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NZ" w:eastAsia="en-NZ"/>
              </w:rPr>
            </w:pPr>
          </w:p>
          <w:p w:rsidR="00FD6A6F" w:rsidRDefault="00FD6A6F" w:rsidP="00167AB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NZ" w:eastAsia="en-NZ"/>
              </w:rPr>
            </w:pPr>
          </w:p>
          <w:p w:rsidR="00FD6A6F" w:rsidRDefault="00FD6A6F" w:rsidP="00167AB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NZ" w:eastAsia="en-NZ"/>
              </w:rPr>
            </w:pPr>
          </w:p>
          <w:p w:rsidR="00FD6A6F" w:rsidRDefault="00FD6A6F" w:rsidP="00167AB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NZ" w:eastAsia="en-NZ"/>
              </w:rPr>
            </w:pPr>
          </w:p>
          <w:p w:rsidR="00FD6A6F" w:rsidRDefault="00FD6A6F" w:rsidP="00167AB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NZ" w:eastAsia="en-NZ"/>
              </w:rPr>
            </w:pPr>
          </w:p>
          <w:p w:rsidR="00FD6A6F" w:rsidRDefault="00FD6A6F" w:rsidP="00167AB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NZ" w:eastAsia="en-NZ"/>
              </w:rPr>
            </w:pPr>
          </w:p>
          <w:p w:rsidR="00FD6A6F" w:rsidRDefault="00FD6A6F" w:rsidP="00167AB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NZ" w:eastAsia="en-NZ"/>
              </w:rPr>
            </w:pPr>
          </w:p>
          <w:p w:rsidR="00FD6A6F" w:rsidRDefault="00FD6A6F" w:rsidP="00167AB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NZ" w:eastAsia="en-NZ"/>
              </w:rPr>
            </w:pPr>
          </w:p>
          <w:p w:rsidR="00FD6A6F" w:rsidRDefault="00FD6A6F" w:rsidP="00167AB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NZ" w:eastAsia="en-NZ"/>
              </w:rPr>
            </w:pPr>
          </w:p>
          <w:p w:rsidR="00FD6A6F" w:rsidRDefault="00FD6A6F" w:rsidP="00167AB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NZ" w:eastAsia="en-NZ"/>
              </w:rPr>
            </w:pPr>
          </w:p>
          <w:p w:rsidR="00FD6A6F" w:rsidRDefault="00FD6A6F" w:rsidP="00167AB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NZ" w:eastAsia="en-NZ"/>
              </w:rPr>
            </w:pPr>
          </w:p>
          <w:p w:rsidR="00FD6A6F" w:rsidRDefault="00FD6A6F" w:rsidP="00167AB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NZ" w:eastAsia="en-NZ"/>
              </w:rPr>
            </w:pPr>
          </w:p>
          <w:p w:rsidR="00FD6A6F" w:rsidRPr="005E2F1D" w:rsidRDefault="00FD6A6F" w:rsidP="00167AB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NZ" w:eastAsia="en-NZ"/>
              </w:rPr>
            </w:pPr>
          </w:p>
        </w:tc>
        <w:tc>
          <w:tcPr>
            <w:tcW w:w="2202" w:type="dxa"/>
            <w:vMerge w:val="restart"/>
            <w:shd w:val="clear" w:color="000000" w:fill="FFFFFF"/>
            <w:hideMark/>
          </w:tcPr>
          <w:p w:rsidR="00D6070E" w:rsidRPr="005E2F1D" w:rsidRDefault="00007FF0" w:rsidP="00167AB9">
            <w:pPr>
              <w:numPr>
                <w:ilvl w:val="0"/>
                <w:numId w:val="10"/>
              </w:numPr>
              <w:spacing w:after="60" w:line="240" w:lineRule="auto"/>
              <w:ind w:left="318" w:hanging="318"/>
              <w:rPr>
                <w:rFonts w:ascii="Calibri" w:eastAsia="Times New Roman" w:hAnsi="Calibri" w:cs="Times New Roman"/>
                <w:sz w:val="20"/>
                <w:szCs w:val="20"/>
                <w:lang w:val="en-NZ" w:eastAsia="en-N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en-NZ" w:eastAsia="en-NZ"/>
              </w:rPr>
              <w:t xml:space="preserve">Percentage </w:t>
            </w:r>
            <w:r w:rsidR="00D6070E" w:rsidRPr="005E2F1D">
              <w:rPr>
                <w:rFonts w:ascii="Calibri" w:eastAsia="Times New Roman" w:hAnsi="Calibri" w:cs="Times New Roman"/>
                <w:sz w:val="20"/>
                <w:szCs w:val="20"/>
                <w:lang w:val="en-NZ" w:eastAsia="en-NZ"/>
              </w:rPr>
              <w:t>of incident reports including ‘near miss’ reports to E</w:t>
            </w:r>
            <w:r w:rsidR="00747170">
              <w:rPr>
                <w:rFonts w:ascii="Calibri" w:eastAsia="Times New Roman" w:hAnsi="Calibri" w:cs="Times New Roman"/>
                <w:sz w:val="20"/>
                <w:szCs w:val="20"/>
                <w:lang w:val="en-NZ" w:eastAsia="en-NZ"/>
              </w:rPr>
              <w:t>O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val="en-NZ" w:eastAsia="en-NZ"/>
              </w:rPr>
              <w:t xml:space="preserve"> HSW Committee are </w:t>
            </w:r>
            <w:r w:rsidR="00D6070E" w:rsidRPr="005E2F1D">
              <w:rPr>
                <w:rFonts w:ascii="Calibri" w:eastAsia="Times New Roman" w:hAnsi="Calibri" w:cs="Times New Roman"/>
                <w:sz w:val="20"/>
                <w:szCs w:val="20"/>
                <w:lang w:val="en-NZ" w:eastAsia="en-NZ"/>
              </w:rPr>
              <w:t xml:space="preserve">shared with the </w:t>
            </w:r>
            <w:r w:rsidR="00175830">
              <w:rPr>
                <w:rFonts w:ascii="Calibri" w:eastAsia="Times New Roman" w:hAnsi="Calibri" w:cs="Times New Roman"/>
                <w:sz w:val="20"/>
                <w:szCs w:val="20"/>
                <w:lang w:val="en-NZ" w:eastAsia="en-NZ"/>
              </w:rPr>
              <w:t>University</w:t>
            </w:r>
            <w:r w:rsidR="00D6070E" w:rsidRPr="005E2F1D">
              <w:rPr>
                <w:rFonts w:ascii="Calibri" w:eastAsia="Times New Roman" w:hAnsi="Calibri" w:cs="Times New Roman"/>
                <w:sz w:val="20"/>
                <w:szCs w:val="20"/>
                <w:lang w:val="en-NZ" w:eastAsia="en-NZ"/>
              </w:rPr>
              <w:t xml:space="preserve"> team with accountability for resolution/</w:t>
            </w:r>
            <w:r w:rsidR="005E2F1D">
              <w:rPr>
                <w:rFonts w:ascii="Calibri" w:eastAsia="Times New Roman" w:hAnsi="Calibri" w:cs="Times New Roman"/>
                <w:sz w:val="20"/>
                <w:szCs w:val="20"/>
                <w:lang w:val="en-NZ" w:eastAsia="en-NZ"/>
              </w:rPr>
              <w:t xml:space="preserve"> </w:t>
            </w:r>
            <w:r w:rsidR="00AE63F0">
              <w:rPr>
                <w:rFonts w:ascii="Calibri" w:eastAsia="Times New Roman" w:hAnsi="Calibri" w:cs="Times New Roman"/>
                <w:sz w:val="20"/>
                <w:szCs w:val="20"/>
                <w:lang w:val="en-NZ" w:eastAsia="en-NZ"/>
              </w:rPr>
              <w:t>mitigation</w:t>
            </w:r>
          </w:p>
          <w:p w:rsidR="00D6070E" w:rsidRPr="005E2F1D" w:rsidRDefault="00D6070E" w:rsidP="00167AB9">
            <w:pPr>
              <w:numPr>
                <w:ilvl w:val="0"/>
                <w:numId w:val="10"/>
              </w:numPr>
              <w:spacing w:after="60" w:line="240" w:lineRule="auto"/>
              <w:ind w:left="318" w:hanging="318"/>
              <w:rPr>
                <w:rFonts w:ascii="Calibri" w:eastAsia="Times New Roman" w:hAnsi="Calibri" w:cs="Times New Roman"/>
                <w:sz w:val="20"/>
                <w:szCs w:val="20"/>
                <w:lang w:val="en-NZ" w:eastAsia="en-NZ"/>
              </w:rPr>
            </w:pPr>
            <w:r w:rsidRPr="005E2F1D">
              <w:rPr>
                <w:rFonts w:ascii="Calibri" w:eastAsia="Times New Roman" w:hAnsi="Calibri" w:cs="Times New Roman"/>
                <w:sz w:val="20"/>
                <w:szCs w:val="20"/>
                <w:lang w:val="en-NZ" w:eastAsia="en-NZ"/>
              </w:rPr>
              <w:t>The EO HSW Committee regularly promotes health, safety and well</w:t>
            </w:r>
            <w:r w:rsidR="00747170">
              <w:rPr>
                <w:rFonts w:ascii="Calibri" w:eastAsia="Times New Roman" w:hAnsi="Calibri" w:cs="Times New Roman"/>
                <w:sz w:val="20"/>
                <w:szCs w:val="20"/>
                <w:lang w:val="en-NZ" w:eastAsia="en-NZ"/>
              </w:rPr>
              <w:t xml:space="preserve">being to the </w:t>
            </w:r>
            <w:r w:rsidR="00007FF0">
              <w:rPr>
                <w:rFonts w:ascii="Calibri" w:eastAsia="Times New Roman" w:hAnsi="Calibri" w:cs="Times New Roman"/>
                <w:sz w:val="20"/>
                <w:szCs w:val="20"/>
                <w:lang w:val="en-NZ" w:eastAsia="en-NZ"/>
              </w:rPr>
              <w:t>team</w:t>
            </w:r>
          </w:p>
          <w:p w:rsidR="00007FF0" w:rsidRPr="00831F7A" w:rsidRDefault="00747170" w:rsidP="00175830">
            <w:pPr>
              <w:numPr>
                <w:ilvl w:val="0"/>
                <w:numId w:val="10"/>
              </w:numPr>
              <w:spacing w:after="60" w:line="240" w:lineRule="auto"/>
              <w:ind w:left="318" w:hanging="318"/>
              <w:rPr>
                <w:rFonts w:ascii="Calibri" w:eastAsia="Times New Roman" w:hAnsi="Calibri" w:cs="Times New Roman"/>
                <w:sz w:val="20"/>
                <w:szCs w:val="20"/>
                <w:lang w:val="en-NZ" w:eastAsia="en-N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en-NZ" w:eastAsia="en-NZ"/>
              </w:rPr>
              <w:t>The EO</w:t>
            </w:r>
            <w:r w:rsidR="00D6070E" w:rsidRPr="005E2F1D">
              <w:rPr>
                <w:rFonts w:ascii="Calibri" w:eastAsia="Times New Roman" w:hAnsi="Calibri" w:cs="Times New Roman"/>
                <w:sz w:val="20"/>
                <w:szCs w:val="20"/>
                <w:lang w:val="en-NZ" w:eastAsia="en-NZ"/>
              </w:rPr>
              <w:t xml:space="preserve"> is compliant with all </w:t>
            </w:r>
            <w:r w:rsidR="00175830">
              <w:rPr>
                <w:rFonts w:ascii="Calibri" w:eastAsia="Times New Roman" w:hAnsi="Calibri" w:cs="Times New Roman"/>
                <w:sz w:val="20"/>
                <w:szCs w:val="20"/>
                <w:lang w:val="en-NZ" w:eastAsia="en-NZ"/>
              </w:rPr>
              <w:t>University HSW p</w:t>
            </w:r>
            <w:r w:rsidR="00D6070E" w:rsidRPr="005E2F1D">
              <w:rPr>
                <w:rFonts w:ascii="Calibri" w:eastAsia="Times New Roman" w:hAnsi="Calibri" w:cs="Times New Roman"/>
                <w:sz w:val="20"/>
                <w:szCs w:val="20"/>
                <w:lang w:val="en-NZ" w:eastAsia="en-NZ"/>
              </w:rPr>
              <w:t>olicy and procedures.</w:t>
            </w:r>
          </w:p>
        </w:tc>
        <w:tc>
          <w:tcPr>
            <w:tcW w:w="1276" w:type="dxa"/>
            <w:vMerge w:val="restart"/>
            <w:shd w:val="clear" w:color="000000" w:fill="FFFFFF"/>
            <w:noWrap/>
            <w:hideMark/>
          </w:tcPr>
          <w:p w:rsidR="00D6070E" w:rsidRPr="005E2F1D" w:rsidRDefault="00D6070E" w:rsidP="00167AB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NZ" w:eastAsia="en-NZ"/>
              </w:rPr>
            </w:pPr>
            <w:r w:rsidRPr="005E2F1D">
              <w:rPr>
                <w:rFonts w:ascii="Calibri" w:eastAsia="Times New Roman" w:hAnsi="Calibri" w:cs="Times New Roman"/>
                <w:sz w:val="20"/>
                <w:szCs w:val="20"/>
                <w:lang w:val="en-NZ" w:eastAsia="en-NZ"/>
              </w:rPr>
              <w:t>1.100%</w:t>
            </w:r>
          </w:p>
          <w:p w:rsidR="00D6070E" w:rsidRPr="005E2F1D" w:rsidRDefault="00D6070E" w:rsidP="00167AB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NZ" w:eastAsia="en-NZ"/>
              </w:rPr>
            </w:pPr>
            <w:r w:rsidRPr="005E2F1D">
              <w:rPr>
                <w:rFonts w:ascii="Calibri" w:eastAsia="Times New Roman" w:hAnsi="Calibri" w:cs="Times New Roman"/>
                <w:sz w:val="20"/>
                <w:szCs w:val="20"/>
                <w:lang w:val="en-NZ" w:eastAsia="en-NZ"/>
              </w:rPr>
              <w:t>2. Achieved</w:t>
            </w:r>
          </w:p>
          <w:p w:rsidR="00D6070E" w:rsidRPr="005E2F1D" w:rsidRDefault="00D6070E" w:rsidP="00167AB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NZ" w:eastAsia="en-NZ"/>
              </w:rPr>
            </w:pPr>
            <w:r w:rsidRPr="005E2F1D">
              <w:rPr>
                <w:rFonts w:ascii="Calibri" w:eastAsia="Times New Roman" w:hAnsi="Calibri" w:cs="Times New Roman"/>
                <w:sz w:val="20"/>
                <w:szCs w:val="20"/>
                <w:lang w:val="en-NZ" w:eastAsia="en-NZ"/>
              </w:rPr>
              <w:t>3. Achieved</w:t>
            </w:r>
          </w:p>
          <w:p w:rsidR="00D6070E" w:rsidRDefault="00D6070E" w:rsidP="00167AB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NZ" w:eastAsia="en-NZ"/>
              </w:rPr>
            </w:pPr>
            <w:r w:rsidRPr="005E2F1D">
              <w:rPr>
                <w:rFonts w:ascii="Calibri" w:eastAsia="Times New Roman" w:hAnsi="Calibri" w:cs="Times New Roman"/>
                <w:sz w:val="20"/>
                <w:szCs w:val="20"/>
                <w:lang w:val="en-NZ" w:eastAsia="en-NZ"/>
              </w:rPr>
              <w:t xml:space="preserve"> </w:t>
            </w:r>
          </w:p>
          <w:p w:rsidR="005E2F1D" w:rsidRDefault="005E2F1D" w:rsidP="00167AB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NZ" w:eastAsia="en-NZ"/>
              </w:rPr>
            </w:pPr>
          </w:p>
          <w:p w:rsidR="005E2F1D" w:rsidRDefault="005E2F1D" w:rsidP="00167AB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NZ" w:eastAsia="en-NZ"/>
              </w:rPr>
            </w:pPr>
          </w:p>
          <w:p w:rsidR="005E2F1D" w:rsidRDefault="005E2F1D" w:rsidP="00167AB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NZ" w:eastAsia="en-NZ"/>
              </w:rPr>
            </w:pPr>
          </w:p>
          <w:p w:rsidR="005E2F1D" w:rsidRDefault="005E2F1D" w:rsidP="00167AB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NZ" w:eastAsia="en-NZ"/>
              </w:rPr>
            </w:pPr>
          </w:p>
          <w:p w:rsidR="005E2F1D" w:rsidRDefault="005E2F1D" w:rsidP="00167AB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NZ" w:eastAsia="en-NZ"/>
              </w:rPr>
            </w:pPr>
          </w:p>
          <w:p w:rsidR="005E2F1D" w:rsidRDefault="005E2F1D" w:rsidP="00167AB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NZ" w:eastAsia="en-NZ"/>
              </w:rPr>
            </w:pPr>
          </w:p>
          <w:p w:rsidR="005E2F1D" w:rsidRDefault="005E2F1D" w:rsidP="00167AB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NZ" w:eastAsia="en-NZ"/>
              </w:rPr>
            </w:pPr>
          </w:p>
          <w:p w:rsidR="005E2F1D" w:rsidRDefault="005E2F1D" w:rsidP="00167AB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NZ" w:eastAsia="en-NZ"/>
              </w:rPr>
            </w:pPr>
          </w:p>
          <w:p w:rsidR="005E2F1D" w:rsidRDefault="005E2F1D" w:rsidP="00167AB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NZ" w:eastAsia="en-NZ"/>
              </w:rPr>
            </w:pPr>
          </w:p>
          <w:p w:rsidR="00E80DC3" w:rsidRDefault="00E80DC3" w:rsidP="00167AB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NZ" w:eastAsia="en-NZ"/>
              </w:rPr>
            </w:pPr>
          </w:p>
          <w:p w:rsidR="00E80DC3" w:rsidRDefault="00E80DC3" w:rsidP="00167AB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NZ" w:eastAsia="en-NZ"/>
              </w:rPr>
            </w:pPr>
          </w:p>
          <w:p w:rsidR="005E2F1D" w:rsidRDefault="005E2F1D" w:rsidP="00167AB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NZ" w:eastAsia="en-NZ"/>
              </w:rPr>
            </w:pPr>
          </w:p>
          <w:p w:rsidR="005E2F1D" w:rsidRDefault="005E2F1D" w:rsidP="00167AB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NZ" w:eastAsia="en-NZ"/>
              </w:rPr>
            </w:pPr>
          </w:p>
          <w:p w:rsidR="005E2F1D" w:rsidRDefault="005E2F1D" w:rsidP="00167AB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NZ" w:eastAsia="en-NZ"/>
              </w:rPr>
            </w:pPr>
          </w:p>
          <w:p w:rsidR="005E2F1D" w:rsidRDefault="005E2F1D" w:rsidP="00167AB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NZ" w:eastAsia="en-NZ"/>
              </w:rPr>
            </w:pPr>
          </w:p>
          <w:p w:rsidR="005E2F1D" w:rsidRDefault="005E2F1D" w:rsidP="00167AB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NZ" w:eastAsia="en-NZ"/>
              </w:rPr>
            </w:pPr>
          </w:p>
          <w:p w:rsidR="005E2F1D" w:rsidRDefault="005E2F1D" w:rsidP="00167AB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NZ" w:eastAsia="en-NZ"/>
              </w:rPr>
            </w:pPr>
          </w:p>
          <w:p w:rsidR="005E2F1D" w:rsidRDefault="005E2F1D" w:rsidP="00167AB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NZ" w:eastAsia="en-NZ"/>
              </w:rPr>
            </w:pPr>
          </w:p>
          <w:p w:rsidR="005E2F1D" w:rsidRDefault="005E2F1D" w:rsidP="00167AB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NZ" w:eastAsia="en-NZ"/>
              </w:rPr>
            </w:pPr>
          </w:p>
          <w:p w:rsidR="005E2F1D" w:rsidRPr="005E2F1D" w:rsidRDefault="005E2F1D" w:rsidP="00167AB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NZ" w:eastAsia="en-NZ"/>
              </w:rPr>
            </w:pPr>
          </w:p>
        </w:tc>
        <w:tc>
          <w:tcPr>
            <w:tcW w:w="1228" w:type="dxa"/>
            <w:vMerge w:val="restart"/>
            <w:shd w:val="clear" w:color="000000" w:fill="FFFFFF"/>
            <w:noWrap/>
            <w:hideMark/>
          </w:tcPr>
          <w:p w:rsidR="00D6070E" w:rsidRPr="005E2F1D" w:rsidRDefault="00D6070E" w:rsidP="00167AB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NZ" w:eastAsia="en-NZ"/>
              </w:rPr>
            </w:pPr>
            <w:r w:rsidRPr="005E2F1D">
              <w:rPr>
                <w:rFonts w:ascii="Calibri" w:eastAsia="Times New Roman" w:hAnsi="Calibri" w:cs="Times New Roman"/>
                <w:sz w:val="20"/>
                <w:szCs w:val="20"/>
                <w:lang w:val="en-NZ" w:eastAsia="en-NZ"/>
              </w:rPr>
              <w:t>1.100%</w:t>
            </w:r>
          </w:p>
          <w:p w:rsidR="00D6070E" w:rsidRPr="005E2F1D" w:rsidRDefault="00D6070E" w:rsidP="00167AB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NZ" w:eastAsia="en-NZ"/>
              </w:rPr>
            </w:pPr>
            <w:r w:rsidRPr="005E2F1D">
              <w:rPr>
                <w:rFonts w:ascii="Calibri" w:eastAsia="Times New Roman" w:hAnsi="Calibri" w:cs="Times New Roman"/>
                <w:sz w:val="20"/>
                <w:szCs w:val="20"/>
                <w:lang w:val="en-NZ" w:eastAsia="en-NZ"/>
              </w:rPr>
              <w:t xml:space="preserve">2. </w:t>
            </w:r>
            <w:r w:rsidR="00167AB9">
              <w:rPr>
                <w:rFonts w:ascii="Calibri" w:eastAsia="Times New Roman" w:hAnsi="Calibri" w:cs="Times New Roman"/>
                <w:sz w:val="20"/>
                <w:szCs w:val="20"/>
                <w:lang w:val="en-NZ" w:eastAsia="en-NZ"/>
              </w:rPr>
              <w:t>A</w:t>
            </w:r>
            <w:r w:rsidRPr="005E2F1D">
              <w:rPr>
                <w:rFonts w:ascii="Calibri" w:eastAsia="Times New Roman" w:hAnsi="Calibri" w:cs="Times New Roman"/>
                <w:sz w:val="20"/>
                <w:szCs w:val="20"/>
                <w:lang w:val="en-NZ" w:eastAsia="en-NZ"/>
              </w:rPr>
              <w:t>chieved</w:t>
            </w:r>
          </w:p>
          <w:p w:rsidR="00D6070E" w:rsidRDefault="005E2F1D" w:rsidP="00167AB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NZ" w:eastAsia="en-N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en-NZ" w:eastAsia="en-NZ"/>
              </w:rPr>
              <w:t>3.</w:t>
            </w:r>
            <w:r w:rsidR="00167AB9">
              <w:rPr>
                <w:rFonts w:ascii="Calibri" w:eastAsia="Times New Roman" w:hAnsi="Calibri" w:cs="Times New Roman"/>
                <w:sz w:val="20"/>
                <w:szCs w:val="20"/>
                <w:lang w:val="en-NZ" w:eastAsia="en-NZ"/>
              </w:rPr>
              <w:t xml:space="preserve"> </w:t>
            </w:r>
            <w:r w:rsidR="00D6070E" w:rsidRPr="005E2F1D">
              <w:rPr>
                <w:rFonts w:ascii="Calibri" w:eastAsia="Times New Roman" w:hAnsi="Calibri" w:cs="Times New Roman"/>
                <w:sz w:val="20"/>
                <w:szCs w:val="20"/>
                <w:lang w:val="en-NZ" w:eastAsia="en-NZ"/>
              </w:rPr>
              <w:t>Achieved</w:t>
            </w:r>
          </w:p>
          <w:p w:rsidR="005E2F1D" w:rsidRDefault="005E2F1D" w:rsidP="00167AB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NZ" w:eastAsia="en-NZ"/>
              </w:rPr>
            </w:pPr>
          </w:p>
          <w:p w:rsidR="005E2F1D" w:rsidRDefault="005E2F1D" w:rsidP="00167AB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NZ" w:eastAsia="en-NZ"/>
              </w:rPr>
            </w:pPr>
          </w:p>
          <w:p w:rsidR="005E2F1D" w:rsidRDefault="005E2F1D" w:rsidP="00167AB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NZ" w:eastAsia="en-NZ"/>
              </w:rPr>
            </w:pPr>
          </w:p>
          <w:p w:rsidR="005E2F1D" w:rsidRDefault="005E2F1D" w:rsidP="00167AB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NZ" w:eastAsia="en-NZ"/>
              </w:rPr>
            </w:pPr>
          </w:p>
          <w:p w:rsidR="005E2F1D" w:rsidRDefault="005E2F1D" w:rsidP="00167AB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NZ" w:eastAsia="en-NZ"/>
              </w:rPr>
            </w:pPr>
          </w:p>
          <w:p w:rsidR="005E2F1D" w:rsidRDefault="005E2F1D" w:rsidP="00167AB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NZ" w:eastAsia="en-NZ"/>
              </w:rPr>
            </w:pPr>
          </w:p>
          <w:p w:rsidR="005E2F1D" w:rsidRDefault="005E2F1D" w:rsidP="00167AB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NZ" w:eastAsia="en-NZ"/>
              </w:rPr>
            </w:pPr>
          </w:p>
          <w:p w:rsidR="00E80DC3" w:rsidRDefault="00E80DC3" w:rsidP="00167AB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NZ" w:eastAsia="en-NZ"/>
              </w:rPr>
            </w:pPr>
          </w:p>
          <w:p w:rsidR="00E80DC3" w:rsidRDefault="00E80DC3" w:rsidP="00167AB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NZ" w:eastAsia="en-NZ"/>
              </w:rPr>
            </w:pPr>
          </w:p>
          <w:p w:rsidR="005E2F1D" w:rsidRDefault="005E2F1D" w:rsidP="00167AB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NZ" w:eastAsia="en-NZ"/>
              </w:rPr>
            </w:pPr>
          </w:p>
          <w:p w:rsidR="005E2F1D" w:rsidRDefault="005E2F1D" w:rsidP="00167AB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NZ" w:eastAsia="en-NZ"/>
              </w:rPr>
            </w:pPr>
          </w:p>
          <w:p w:rsidR="005E2F1D" w:rsidRDefault="005E2F1D" w:rsidP="00167AB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NZ" w:eastAsia="en-NZ"/>
              </w:rPr>
            </w:pPr>
          </w:p>
          <w:p w:rsidR="005E2F1D" w:rsidRDefault="005E2F1D" w:rsidP="00167AB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NZ" w:eastAsia="en-NZ"/>
              </w:rPr>
            </w:pPr>
          </w:p>
          <w:p w:rsidR="005E2F1D" w:rsidRDefault="005E2F1D" w:rsidP="00167AB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NZ" w:eastAsia="en-NZ"/>
              </w:rPr>
            </w:pPr>
          </w:p>
          <w:p w:rsidR="005E2F1D" w:rsidRDefault="005E2F1D" w:rsidP="00167AB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NZ" w:eastAsia="en-NZ"/>
              </w:rPr>
            </w:pPr>
          </w:p>
          <w:p w:rsidR="005E2F1D" w:rsidRDefault="005E2F1D" w:rsidP="00167AB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NZ" w:eastAsia="en-NZ"/>
              </w:rPr>
            </w:pPr>
          </w:p>
          <w:p w:rsidR="005E2F1D" w:rsidRDefault="005E2F1D" w:rsidP="00167AB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NZ" w:eastAsia="en-NZ"/>
              </w:rPr>
            </w:pPr>
          </w:p>
          <w:p w:rsidR="005E2F1D" w:rsidRDefault="005E2F1D" w:rsidP="00167AB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NZ" w:eastAsia="en-NZ"/>
              </w:rPr>
            </w:pPr>
          </w:p>
          <w:p w:rsidR="005E2F1D" w:rsidRPr="005E2F1D" w:rsidRDefault="005E2F1D" w:rsidP="00167AB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NZ" w:eastAsia="en-NZ"/>
              </w:rPr>
            </w:pPr>
          </w:p>
        </w:tc>
        <w:tc>
          <w:tcPr>
            <w:tcW w:w="1134" w:type="dxa"/>
            <w:vMerge w:val="restart"/>
            <w:shd w:val="clear" w:color="000000" w:fill="FFFFFF"/>
            <w:noWrap/>
            <w:hideMark/>
          </w:tcPr>
          <w:p w:rsidR="00D6070E" w:rsidRDefault="005B1A7D" w:rsidP="00167AB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NZ" w:eastAsia="en-N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en-NZ" w:eastAsia="en-NZ"/>
              </w:rPr>
              <w:t>N/A</w:t>
            </w:r>
          </w:p>
          <w:p w:rsidR="005E2F1D" w:rsidRDefault="005E2F1D" w:rsidP="00167AB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NZ" w:eastAsia="en-NZ"/>
              </w:rPr>
            </w:pPr>
          </w:p>
          <w:p w:rsidR="005E2F1D" w:rsidRDefault="005E2F1D" w:rsidP="00167AB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NZ" w:eastAsia="en-NZ"/>
              </w:rPr>
            </w:pPr>
          </w:p>
          <w:p w:rsidR="005E2F1D" w:rsidRDefault="005E2F1D" w:rsidP="00167AB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NZ" w:eastAsia="en-NZ"/>
              </w:rPr>
            </w:pPr>
          </w:p>
          <w:p w:rsidR="005E2F1D" w:rsidRDefault="005E2F1D" w:rsidP="00167AB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NZ" w:eastAsia="en-NZ"/>
              </w:rPr>
            </w:pPr>
          </w:p>
          <w:p w:rsidR="005E2F1D" w:rsidRDefault="005E2F1D" w:rsidP="00167AB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NZ" w:eastAsia="en-NZ"/>
              </w:rPr>
            </w:pPr>
          </w:p>
          <w:p w:rsidR="005E2F1D" w:rsidRDefault="005E2F1D" w:rsidP="00167AB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NZ" w:eastAsia="en-NZ"/>
              </w:rPr>
            </w:pPr>
          </w:p>
          <w:p w:rsidR="005E2F1D" w:rsidRDefault="005E2F1D" w:rsidP="00167AB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NZ" w:eastAsia="en-NZ"/>
              </w:rPr>
            </w:pPr>
          </w:p>
          <w:p w:rsidR="005E2F1D" w:rsidRDefault="005E2F1D" w:rsidP="00167AB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NZ" w:eastAsia="en-NZ"/>
              </w:rPr>
            </w:pPr>
          </w:p>
          <w:p w:rsidR="005E2F1D" w:rsidRDefault="005E2F1D" w:rsidP="00167AB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NZ" w:eastAsia="en-NZ"/>
              </w:rPr>
            </w:pPr>
          </w:p>
          <w:p w:rsidR="005E2F1D" w:rsidRDefault="005E2F1D" w:rsidP="00167AB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NZ" w:eastAsia="en-NZ"/>
              </w:rPr>
            </w:pPr>
          </w:p>
          <w:p w:rsidR="005E2F1D" w:rsidRDefault="005E2F1D" w:rsidP="00167AB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NZ" w:eastAsia="en-NZ"/>
              </w:rPr>
            </w:pPr>
          </w:p>
          <w:p w:rsidR="00E80DC3" w:rsidRDefault="00E80DC3" w:rsidP="00167AB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NZ" w:eastAsia="en-NZ"/>
              </w:rPr>
            </w:pPr>
          </w:p>
          <w:p w:rsidR="00E80DC3" w:rsidRDefault="00E80DC3" w:rsidP="00167AB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NZ" w:eastAsia="en-NZ"/>
              </w:rPr>
            </w:pPr>
          </w:p>
          <w:p w:rsidR="005E2F1D" w:rsidRDefault="005E2F1D" w:rsidP="00167AB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NZ" w:eastAsia="en-NZ"/>
              </w:rPr>
            </w:pPr>
          </w:p>
          <w:p w:rsidR="005E2F1D" w:rsidRDefault="005E2F1D" w:rsidP="00167AB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NZ" w:eastAsia="en-NZ"/>
              </w:rPr>
            </w:pPr>
          </w:p>
          <w:p w:rsidR="005E2F1D" w:rsidRDefault="005E2F1D" w:rsidP="00167AB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NZ" w:eastAsia="en-NZ"/>
              </w:rPr>
            </w:pPr>
          </w:p>
          <w:p w:rsidR="005E2F1D" w:rsidRDefault="005E2F1D" w:rsidP="00167AB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NZ" w:eastAsia="en-NZ"/>
              </w:rPr>
            </w:pPr>
          </w:p>
          <w:p w:rsidR="005E2F1D" w:rsidRDefault="005E2F1D" w:rsidP="00167AB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NZ" w:eastAsia="en-NZ"/>
              </w:rPr>
            </w:pPr>
          </w:p>
          <w:p w:rsidR="005E2F1D" w:rsidRPr="005E2F1D" w:rsidRDefault="005E2F1D" w:rsidP="00167AB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NZ" w:eastAsia="en-NZ"/>
              </w:rPr>
            </w:pPr>
          </w:p>
        </w:tc>
        <w:tc>
          <w:tcPr>
            <w:tcW w:w="1134" w:type="dxa"/>
            <w:vMerge w:val="restart"/>
            <w:shd w:val="clear" w:color="000000" w:fill="FFFFFF"/>
            <w:noWrap/>
            <w:hideMark/>
          </w:tcPr>
          <w:p w:rsidR="00D6070E" w:rsidRDefault="005B1A7D" w:rsidP="00167AB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NZ" w:eastAsia="en-N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en-NZ" w:eastAsia="en-NZ"/>
              </w:rPr>
              <w:t>N/A</w:t>
            </w:r>
          </w:p>
          <w:p w:rsidR="005E2F1D" w:rsidRDefault="005E2F1D" w:rsidP="00167AB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NZ" w:eastAsia="en-NZ"/>
              </w:rPr>
            </w:pPr>
          </w:p>
          <w:p w:rsidR="005E2F1D" w:rsidRDefault="005E2F1D" w:rsidP="00167AB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NZ" w:eastAsia="en-NZ"/>
              </w:rPr>
            </w:pPr>
          </w:p>
          <w:p w:rsidR="005E2F1D" w:rsidRDefault="005E2F1D" w:rsidP="00167AB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NZ" w:eastAsia="en-NZ"/>
              </w:rPr>
            </w:pPr>
          </w:p>
          <w:p w:rsidR="005E2F1D" w:rsidRDefault="005E2F1D" w:rsidP="00167AB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NZ" w:eastAsia="en-NZ"/>
              </w:rPr>
            </w:pPr>
          </w:p>
          <w:p w:rsidR="005E2F1D" w:rsidRDefault="005E2F1D" w:rsidP="00167AB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NZ" w:eastAsia="en-NZ"/>
              </w:rPr>
            </w:pPr>
          </w:p>
          <w:p w:rsidR="005E2F1D" w:rsidRDefault="005E2F1D" w:rsidP="00167AB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NZ" w:eastAsia="en-NZ"/>
              </w:rPr>
            </w:pPr>
          </w:p>
          <w:p w:rsidR="005E2F1D" w:rsidRDefault="005E2F1D" w:rsidP="00167AB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NZ" w:eastAsia="en-NZ"/>
              </w:rPr>
            </w:pPr>
          </w:p>
          <w:p w:rsidR="005E2F1D" w:rsidRDefault="005E2F1D" w:rsidP="00167AB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NZ" w:eastAsia="en-NZ"/>
              </w:rPr>
            </w:pPr>
          </w:p>
          <w:p w:rsidR="005E2F1D" w:rsidRDefault="005E2F1D" w:rsidP="00167AB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NZ" w:eastAsia="en-NZ"/>
              </w:rPr>
            </w:pPr>
          </w:p>
          <w:p w:rsidR="00E80DC3" w:rsidRDefault="00E80DC3" w:rsidP="00167AB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NZ" w:eastAsia="en-NZ"/>
              </w:rPr>
            </w:pPr>
          </w:p>
          <w:p w:rsidR="00E80DC3" w:rsidRDefault="00E80DC3" w:rsidP="00167AB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NZ" w:eastAsia="en-NZ"/>
              </w:rPr>
            </w:pPr>
          </w:p>
          <w:p w:rsidR="00E80DC3" w:rsidRDefault="00E80DC3" w:rsidP="00167AB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NZ" w:eastAsia="en-NZ"/>
              </w:rPr>
            </w:pPr>
          </w:p>
          <w:p w:rsidR="00E80DC3" w:rsidRDefault="00E80DC3" w:rsidP="00167AB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NZ" w:eastAsia="en-NZ"/>
              </w:rPr>
            </w:pPr>
          </w:p>
          <w:p w:rsidR="005E2F1D" w:rsidRDefault="005E2F1D" w:rsidP="00167AB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NZ" w:eastAsia="en-NZ"/>
              </w:rPr>
            </w:pPr>
          </w:p>
          <w:p w:rsidR="005E2F1D" w:rsidRDefault="005E2F1D" w:rsidP="00167AB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NZ" w:eastAsia="en-NZ"/>
              </w:rPr>
            </w:pPr>
          </w:p>
          <w:p w:rsidR="005E2F1D" w:rsidRDefault="005E2F1D" w:rsidP="00167AB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NZ" w:eastAsia="en-NZ"/>
              </w:rPr>
            </w:pPr>
          </w:p>
          <w:p w:rsidR="005E2F1D" w:rsidRDefault="005E2F1D" w:rsidP="00167AB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NZ" w:eastAsia="en-NZ"/>
              </w:rPr>
            </w:pPr>
          </w:p>
          <w:p w:rsidR="005E2F1D" w:rsidRDefault="005E2F1D" w:rsidP="00167AB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NZ" w:eastAsia="en-NZ"/>
              </w:rPr>
            </w:pPr>
          </w:p>
          <w:p w:rsidR="005E2F1D" w:rsidRDefault="005E2F1D" w:rsidP="00167AB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NZ" w:eastAsia="en-NZ"/>
              </w:rPr>
            </w:pPr>
          </w:p>
          <w:p w:rsidR="005E2F1D" w:rsidRPr="005E2F1D" w:rsidRDefault="005E2F1D" w:rsidP="00167AB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NZ" w:eastAsia="en-NZ"/>
              </w:rPr>
            </w:pPr>
          </w:p>
        </w:tc>
      </w:tr>
      <w:tr w:rsidR="00752037" w:rsidRPr="00972CA1" w:rsidTr="00BE2261">
        <w:trPr>
          <w:trHeight w:val="4955"/>
        </w:trPr>
        <w:tc>
          <w:tcPr>
            <w:tcW w:w="1276" w:type="dxa"/>
            <w:vMerge/>
            <w:vAlign w:val="center"/>
            <w:hideMark/>
          </w:tcPr>
          <w:p w:rsidR="00752037" w:rsidRPr="00654DFA" w:rsidRDefault="00752037" w:rsidP="00121A0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highlight w:val="yellow"/>
                <w:lang w:val="en-NZ" w:eastAsia="en-NZ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752037" w:rsidRPr="00654DFA" w:rsidRDefault="00752037" w:rsidP="00121A0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highlight w:val="yellow"/>
                <w:lang w:val="en-NZ" w:eastAsia="en-NZ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752037" w:rsidRDefault="00752037" w:rsidP="00167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val="en-NZ" w:eastAsia="en-NZ"/>
              </w:rPr>
            </w:pPr>
            <w:r w:rsidRPr="00882FA0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val="en-NZ" w:eastAsia="en-NZ"/>
              </w:rPr>
              <w:t> </w:t>
            </w:r>
            <w:r w:rsidRPr="005E2F1D">
              <w:rPr>
                <w:rFonts w:ascii="Calibri" w:eastAsia="Times New Roman" w:hAnsi="Calibri" w:cs="Times New Roman"/>
                <w:sz w:val="20"/>
                <w:szCs w:val="20"/>
                <w:lang w:val="en-NZ" w:eastAsia="en-NZ"/>
              </w:rPr>
              <w:t xml:space="preserve">The Equity Office </w:t>
            </w:r>
            <w:r w:rsidR="00007FF0">
              <w:rPr>
                <w:rFonts w:ascii="Calibri" w:eastAsia="Times New Roman" w:hAnsi="Calibri" w:cs="Times New Roman"/>
                <w:sz w:val="20"/>
                <w:szCs w:val="20"/>
                <w:lang w:val="en-NZ" w:eastAsia="en-NZ"/>
              </w:rPr>
              <w:t xml:space="preserve">(EO) </w:t>
            </w:r>
            <w:r w:rsidRPr="005E2F1D">
              <w:rPr>
                <w:rFonts w:ascii="Calibri" w:eastAsia="Times New Roman" w:hAnsi="Calibri" w:cs="Times New Roman"/>
                <w:sz w:val="20"/>
                <w:szCs w:val="20"/>
                <w:lang w:val="en-NZ" w:eastAsia="en-NZ"/>
              </w:rPr>
              <w:t xml:space="preserve">has a small and diverse workforce.  It is committed to supporting staff career and personal development, health, safety and wellbeing. This is managed through </w:t>
            </w:r>
            <w:r w:rsidR="00D834F8">
              <w:rPr>
                <w:rFonts w:ascii="Calibri" w:eastAsia="Times New Roman" w:hAnsi="Calibri" w:cs="Times New Roman"/>
                <w:sz w:val="20"/>
                <w:szCs w:val="20"/>
                <w:lang w:val="en-NZ" w:eastAsia="en-NZ"/>
              </w:rPr>
              <w:t>the</w:t>
            </w:r>
            <w:r w:rsidRPr="005E2F1D">
              <w:rPr>
                <w:rFonts w:ascii="Calibri" w:eastAsia="Times New Roman" w:hAnsi="Calibri" w:cs="Times New Roman"/>
                <w:sz w:val="20"/>
                <w:szCs w:val="20"/>
                <w:lang w:val="en-NZ" w:eastAsia="en-NZ"/>
              </w:rPr>
              <w:t xml:space="preserve"> </w:t>
            </w:r>
            <w:r w:rsidR="00175830">
              <w:rPr>
                <w:rFonts w:ascii="Calibri" w:eastAsia="Times New Roman" w:hAnsi="Calibri" w:cs="Times New Roman"/>
                <w:sz w:val="20"/>
                <w:szCs w:val="20"/>
                <w:lang w:val="en-NZ" w:eastAsia="en-NZ"/>
              </w:rPr>
              <w:t>EO</w:t>
            </w:r>
            <w:r w:rsidRPr="005E2F1D">
              <w:rPr>
                <w:rFonts w:ascii="Calibri" w:eastAsia="Times New Roman" w:hAnsi="Calibri" w:cs="Times New Roman"/>
                <w:sz w:val="20"/>
                <w:szCs w:val="20"/>
                <w:lang w:val="en-NZ" w:eastAsia="en-NZ"/>
              </w:rPr>
              <w:t xml:space="preserve"> Health, Safety and Wellbeing</w:t>
            </w:r>
            <w:r w:rsidR="00175830">
              <w:rPr>
                <w:rFonts w:ascii="Calibri" w:eastAsia="Times New Roman" w:hAnsi="Calibri" w:cs="Times New Roman"/>
                <w:sz w:val="20"/>
                <w:szCs w:val="20"/>
                <w:lang w:val="en-NZ" w:eastAsia="en-NZ"/>
              </w:rPr>
              <w:t xml:space="preserve"> (HSW)</w:t>
            </w:r>
            <w:r w:rsidRPr="005E2F1D">
              <w:rPr>
                <w:rFonts w:ascii="Calibri" w:eastAsia="Times New Roman" w:hAnsi="Calibri" w:cs="Times New Roman"/>
                <w:sz w:val="20"/>
                <w:szCs w:val="20"/>
                <w:lang w:val="en-NZ" w:eastAsia="en-NZ"/>
              </w:rPr>
              <w:t xml:space="preserve"> Committee; through the EVOLVE process, full team and </w:t>
            </w:r>
            <w:r w:rsidR="00D834F8">
              <w:rPr>
                <w:rFonts w:ascii="Calibri" w:eastAsia="Times New Roman" w:hAnsi="Calibri" w:cs="Times New Roman"/>
                <w:sz w:val="20"/>
                <w:szCs w:val="20"/>
                <w:lang w:val="en-NZ" w:eastAsia="en-NZ"/>
              </w:rPr>
              <w:t xml:space="preserve">EO </w:t>
            </w:r>
            <w:r w:rsidRPr="005E2F1D">
              <w:rPr>
                <w:rFonts w:ascii="Calibri" w:eastAsia="Times New Roman" w:hAnsi="Calibri" w:cs="Times New Roman"/>
                <w:sz w:val="20"/>
                <w:szCs w:val="20"/>
                <w:lang w:val="en-NZ" w:eastAsia="en-NZ"/>
              </w:rPr>
              <w:t>SLT meetings.</w:t>
            </w:r>
          </w:p>
          <w:p w:rsidR="00752037" w:rsidRDefault="00752037" w:rsidP="00167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val="en-NZ" w:eastAsia="en-NZ"/>
              </w:rPr>
            </w:pPr>
          </w:p>
          <w:p w:rsidR="00FD6A6F" w:rsidRDefault="00FD6A6F" w:rsidP="00167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val="en-NZ" w:eastAsia="en-NZ"/>
              </w:rPr>
            </w:pPr>
          </w:p>
          <w:p w:rsidR="00FD6A6F" w:rsidRDefault="00FD6A6F" w:rsidP="00167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val="en-NZ" w:eastAsia="en-NZ"/>
              </w:rPr>
            </w:pPr>
          </w:p>
          <w:p w:rsidR="00FD6A6F" w:rsidRDefault="00FD6A6F" w:rsidP="00167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val="en-NZ" w:eastAsia="en-NZ"/>
              </w:rPr>
            </w:pPr>
          </w:p>
          <w:p w:rsidR="00FD6A6F" w:rsidRDefault="00FD6A6F" w:rsidP="00167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val="en-NZ" w:eastAsia="en-NZ"/>
              </w:rPr>
            </w:pPr>
          </w:p>
          <w:p w:rsidR="00FD6A6F" w:rsidRDefault="00FD6A6F" w:rsidP="00167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val="en-NZ" w:eastAsia="en-NZ"/>
              </w:rPr>
            </w:pPr>
          </w:p>
          <w:p w:rsidR="00FD6A6F" w:rsidRDefault="00FD6A6F" w:rsidP="00167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val="en-NZ" w:eastAsia="en-NZ"/>
              </w:rPr>
            </w:pPr>
          </w:p>
          <w:p w:rsidR="00FD6A6F" w:rsidRDefault="00FD6A6F" w:rsidP="00167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val="en-NZ" w:eastAsia="en-NZ"/>
              </w:rPr>
            </w:pPr>
          </w:p>
          <w:p w:rsidR="00752037" w:rsidRDefault="00752037" w:rsidP="00167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highlight w:val="yellow"/>
                <w:lang w:val="en-NZ" w:eastAsia="en-NZ"/>
              </w:rPr>
            </w:pPr>
          </w:p>
          <w:p w:rsidR="00E80DC3" w:rsidRDefault="00E80DC3" w:rsidP="00167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highlight w:val="yellow"/>
                <w:lang w:val="en-NZ" w:eastAsia="en-NZ"/>
              </w:rPr>
            </w:pPr>
          </w:p>
          <w:p w:rsidR="00E80DC3" w:rsidRDefault="00E80DC3" w:rsidP="00167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highlight w:val="yellow"/>
                <w:lang w:val="en-NZ" w:eastAsia="en-NZ"/>
              </w:rPr>
            </w:pPr>
          </w:p>
          <w:p w:rsidR="00E80DC3" w:rsidRDefault="00E80DC3" w:rsidP="00167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highlight w:val="yellow"/>
                <w:lang w:val="en-NZ" w:eastAsia="en-NZ"/>
              </w:rPr>
            </w:pPr>
          </w:p>
          <w:p w:rsidR="00E80DC3" w:rsidRPr="00654DFA" w:rsidRDefault="00E80DC3" w:rsidP="00167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highlight w:val="yellow"/>
                <w:lang w:val="en-NZ" w:eastAsia="en-NZ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752037" w:rsidRPr="00654DFA" w:rsidRDefault="00752037" w:rsidP="00121A0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highlight w:val="yellow"/>
                <w:lang w:val="en-NZ" w:eastAsia="en-NZ"/>
              </w:rPr>
            </w:pPr>
          </w:p>
        </w:tc>
        <w:tc>
          <w:tcPr>
            <w:tcW w:w="2202" w:type="dxa"/>
            <w:vMerge/>
            <w:vAlign w:val="center"/>
            <w:hideMark/>
          </w:tcPr>
          <w:p w:rsidR="00752037" w:rsidRPr="00654DFA" w:rsidRDefault="00752037" w:rsidP="00121A0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highlight w:val="yellow"/>
                <w:lang w:val="en-NZ" w:eastAsia="en-NZ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52037" w:rsidRPr="00654DFA" w:rsidRDefault="00752037" w:rsidP="00121A0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highlight w:val="yellow"/>
                <w:lang w:val="en-NZ" w:eastAsia="en-NZ"/>
              </w:rPr>
            </w:pPr>
          </w:p>
        </w:tc>
        <w:tc>
          <w:tcPr>
            <w:tcW w:w="1228" w:type="dxa"/>
            <w:vMerge/>
            <w:vAlign w:val="center"/>
            <w:hideMark/>
          </w:tcPr>
          <w:p w:rsidR="00752037" w:rsidRPr="00654DFA" w:rsidRDefault="00752037" w:rsidP="00121A0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highlight w:val="yellow"/>
                <w:lang w:val="en-NZ" w:eastAsia="en-NZ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52037" w:rsidRPr="00654DFA" w:rsidRDefault="00752037" w:rsidP="00121A0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highlight w:val="yellow"/>
                <w:lang w:val="en-NZ" w:eastAsia="en-NZ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52037" w:rsidRPr="00654DFA" w:rsidRDefault="00752037" w:rsidP="00121A0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highlight w:val="yellow"/>
                <w:lang w:val="en-NZ" w:eastAsia="en-NZ"/>
              </w:rPr>
            </w:pPr>
          </w:p>
        </w:tc>
      </w:tr>
      <w:tr w:rsidR="00F07645" w:rsidRPr="00972CA1" w:rsidTr="00BE2261">
        <w:trPr>
          <w:trHeight w:val="391"/>
        </w:trPr>
        <w:tc>
          <w:tcPr>
            <w:tcW w:w="14770" w:type="dxa"/>
            <w:gridSpan w:val="9"/>
            <w:shd w:val="clear" w:color="000000" w:fill="F2F2F2"/>
            <w:vAlign w:val="center"/>
            <w:hideMark/>
          </w:tcPr>
          <w:p w:rsidR="00F07645" w:rsidRPr="00007FF0" w:rsidRDefault="00654DFA" w:rsidP="001C5B6D">
            <w:pPr>
              <w:pStyle w:val="Default"/>
              <w:rPr>
                <w:sz w:val="20"/>
                <w:szCs w:val="20"/>
              </w:rPr>
            </w:pPr>
            <w:r w:rsidRPr="00007FF0">
              <w:rPr>
                <w:b/>
                <w:bCs/>
                <w:sz w:val="20"/>
                <w:szCs w:val="20"/>
              </w:rPr>
              <w:lastRenderedPageBreak/>
              <w:t>Enhance training, information and communications</w:t>
            </w:r>
            <w:r w:rsidR="005B1A7D">
              <w:rPr>
                <w:b/>
                <w:bCs/>
                <w:sz w:val="20"/>
                <w:szCs w:val="20"/>
              </w:rPr>
              <w:t>,</w:t>
            </w:r>
            <w:r w:rsidRPr="00007FF0">
              <w:rPr>
                <w:b/>
                <w:bCs/>
                <w:sz w:val="20"/>
                <w:szCs w:val="20"/>
              </w:rPr>
              <w:t xml:space="preserve"> including through digital platforms to contribute to </w:t>
            </w:r>
            <w:r w:rsidR="00877BC2" w:rsidRPr="00007FF0">
              <w:rPr>
                <w:b/>
                <w:bCs/>
                <w:sz w:val="20"/>
                <w:szCs w:val="20"/>
              </w:rPr>
              <w:t xml:space="preserve"> </w:t>
            </w:r>
            <w:r w:rsidRPr="00007FF0">
              <w:rPr>
                <w:b/>
                <w:bCs/>
                <w:sz w:val="20"/>
                <w:szCs w:val="20"/>
              </w:rPr>
              <w:t xml:space="preserve">a </w:t>
            </w:r>
            <w:r w:rsidR="00877BC2" w:rsidRPr="00007FF0">
              <w:rPr>
                <w:b/>
                <w:bCs/>
                <w:sz w:val="20"/>
                <w:szCs w:val="20"/>
              </w:rPr>
              <w:t xml:space="preserve"> </w:t>
            </w:r>
            <w:r w:rsidR="00747170">
              <w:rPr>
                <w:b/>
                <w:bCs/>
                <w:sz w:val="20"/>
                <w:szCs w:val="20"/>
              </w:rPr>
              <w:t>safe, inclusive and e</w:t>
            </w:r>
            <w:r w:rsidRPr="00007FF0">
              <w:rPr>
                <w:b/>
                <w:bCs/>
                <w:sz w:val="20"/>
                <w:szCs w:val="20"/>
              </w:rPr>
              <w:t>quitable University environment</w:t>
            </w:r>
          </w:p>
        </w:tc>
      </w:tr>
      <w:tr w:rsidR="006D023A" w:rsidRPr="00972CA1" w:rsidTr="00BE2261">
        <w:trPr>
          <w:trHeight w:val="690"/>
        </w:trPr>
        <w:tc>
          <w:tcPr>
            <w:tcW w:w="1276" w:type="dxa"/>
            <w:vMerge w:val="restart"/>
            <w:shd w:val="clear" w:color="000000" w:fill="FCD5B4"/>
            <w:hideMark/>
          </w:tcPr>
          <w:p w:rsidR="006D023A" w:rsidRPr="005E2F1D" w:rsidRDefault="006D023A" w:rsidP="00167AB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NZ" w:eastAsia="en-NZ"/>
              </w:rPr>
            </w:pPr>
            <w:r w:rsidRPr="005E2F1D">
              <w:rPr>
                <w:rFonts w:ascii="Calibri" w:eastAsia="Times New Roman" w:hAnsi="Calibri" w:cs="Times New Roman"/>
                <w:sz w:val="20"/>
                <w:szCs w:val="20"/>
                <w:lang w:val="en-NZ" w:eastAsia="en-NZ"/>
              </w:rPr>
              <w:t>GO04</w:t>
            </w:r>
          </w:p>
          <w:p w:rsidR="006D023A" w:rsidRPr="005E2F1D" w:rsidRDefault="006D023A" w:rsidP="00167AB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NZ" w:eastAsia="en-NZ"/>
              </w:rPr>
            </w:pPr>
            <w:r w:rsidRPr="005E2F1D">
              <w:rPr>
                <w:rFonts w:ascii="Calibri" w:eastAsia="Times New Roman" w:hAnsi="Calibri" w:cs="Times New Roman"/>
                <w:sz w:val="20"/>
                <w:szCs w:val="20"/>
                <w:lang w:val="en-NZ" w:eastAsia="en-NZ"/>
              </w:rPr>
              <w:t>CE20</w:t>
            </w:r>
          </w:p>
          <w:p w:rsidR="006D023A" w:rsidRPr="005E2F1D" w:rsidRDefault="006D023A" w:rsidP="00167AB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NZ" w:eastAsia="en-NZ"/>
              </w:rPr>
            </w:pPr>
            <w:r w:rsidRPr="005E2F1D">
              <w:rPr>
                <w:rFonts w:ascii="Calibri" w:eastAsia="Times New Roman" w:hAnsi="Calibri" w:cs="Times New Roman"/>
                <w:sz w:val="20"/>
                <w:szCs w:val="20"/>
                <w:lang w:val="en-NZ" w:eastAsia="en-NZ"/>
              </w:rPr>
              <w:t>CE18</w:t>
            </w:r>
          </w:p>
          <w:p w:rsidR="006D023A" w:rsidRPr="005E2F1D" w:rsidRDefault="006D023A" w:rsidP="00167AB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NZ" w:eastAsia="en-NZ"/>
              </w:rPr>
            </w:pPr>
            <w:r w:rsidRPr="005E2F1D">
              <w:rPr>
                <w:rFonts w:ascii="Calibri" w:eastAsia="Times New Roman" w:hAnsi="Calibri" w:cs="Times New Roman"/>
                <w:sz w:val="20"/>
                <w:szCs w:val="20"/>
                <w:lang w:val="en-NZ" w:eastAsia="en-NZ"/>
              </w:rPr>
              <w:t>CE13</w:t>
            </w:r>
          </w:p>
          <w:p w:rsidR="006D023A" w:rsidRPr="005E2F1D" w:rsidRDefault="006D023A" w:rsidP="00167AB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NZ" w:eastAsia="en-NZ"/>
              </w:rPr>
            </w:pPr>
            <w:r w:rsidRPr="005E2F1D">
              <w:rPr>
                <w:rFonts w:ascii="Calibri" w:eastAsia="Times New Roman" w:hAnsi="Calibri" w:cs="Times New Roman"/>
                <w:sz w:val="20"/>
                <w:szCs w:val="20"/>
                <w:lang w:val="en-NZ" w:eastAsia="en-NZ"/>
              </w:rPr>
              <w:t>CE06</w:t>
            </w:r>
          </w:p>
          <w:p w:rsidR="006D023A" w:rsidRPr="005E2F1D" w:rsidRDefault="006D023A" w:rsidP="00167AB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NZ" w:eastAsia="en-NZ"/>
              </w:rPr>
            </w:pPr>
            <w:r w:rsidRPr="005E2F1D">
              <w:rPr>
                <w:rFonts w:ascii="Calibri" w:eastAsia="Times New Roman" w:hAnsi="Calibri" w:cs="Times New Roman"/>
                <w:sz w:val="20"/>
                <w:szCs w:val="20"/>
                <w:lang w:val="en-NZ" w:eastAsia="en-NZ"/>
              </w:rPr>
              <w:t>CE07</w:t>
            </w:r>
          </w:p>
        </w:tc>
        <w:tc>
          <w:tcPr>
            <w:tcW w:w="1559" w:type="dxa"/>
            <w:vMerge w:val="restart"/>
            <w:shd w:val="clear" w:color="000000" w:fill="FFFFFF"/>
            <w:hideMark/>
          </w:tcPr>
          <w:p w:rsidR="006D023A" w:rsidRPr="005E2F1D" w:rsidRDefault="006D023A" w:rsidP="00167AB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NZ" w:eastAsia="en-NZ"/>
              </w:rPr>
            </w:pPr>
            <w:r w:rsidRPr="005E2F1D">
              <w:rPr>
                <w:rFonts w:ascii="Calibri" w:eastAsia="Times New Roman" w:hAnsi="Calibri" w:cs="Times New Roman"/>
                <w:sz w:val="20"/>
                <w:szCs w:val="20"/>
                <w:lang w:val="en-NZ" w:eastAsia="en-NZ"/>
              </w:rPr>
              <w:t xml:space="preserve">Staff Equity   </w:t>
            </w:r>
          </w:p>
          <w:p w:rsidR="006D023A" w:rsidRPr="005E2F1D" w:rsidRDefault="006D023A" w:rsidP="00167AB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NZ" w:eastAsia="en-NZ"/>
              </w:rPr>
            </w:pPr>
            <w:r w:rsidRPr="005E2F1D">
              <w:rPr>
                <w:rFonts w:ascii="Calibri" w:eastAsia="Times New Roman" w:hAnsi="Calibri" w:cs="Times New Roman"/>
                <w:sz w:val="20"/>
                <w:szCs w:val="20"/>
                <w:lang w:val="en-NZ" w:eastAsia="en-NZ"/>
              </w:rPr>
              <w:t>Student Equity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D023A" w:rsidRPr="005E2F1D" w:rsidRDefault="006D023A" w:rsidP="00877B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NZ" w:eastAsia="en-NZ"/>
              </w:rPr>
            </w:pPr>
            <w:r w:rsidRPr="005E2F1D">
              <w:rPr>
                <w:rFonts w:ascii="Calibri" w:eastAsia="Times New Roman" w:hAnsi="Calibri" w:cs="Times New Roman"/>
                <w:b/>
                <w:bCs/>
                <w:color w:val="4F81BD"/>
                <w:sz w:val="20"/>
                <w:szCs w:val="20"/>
                <w:lang w:val="en-NZ" w:eastAsia="en-NZ"/>
              </w:rPr>
              <w:t>Current performance rating</w:t>
            </w:r>
            <w:r w:rsidRPr="005E2F1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NZ" w:eastAsia="en-NZ"/>
              </w:rPr>
              <w:t xml:space="preserve">:   2    </w:t>
            </w:r>
            <w:r w:rsidRPr="005E2F1D">
              <w:rPr>
                <w:rFonts w:ascii="Calibri" w:eastAsia="Times New Roman" w:hAnsi="Calibri" w:cs="Times New Roman"/>
                <w:b/>
                <w:bCs/>
                <w:color w:val="4F81BD"/>
                <w:sz w:val="20"/>
                <w:szCs w:val="20"/>
                <w:lang w:val="en-NZ" w:eastAsia="en-NZ"/>
              </w:rPr>
              <w:t>Future performance rating</w:t>
            </w:r>
            <w:r w:rsidRPr="005E2F1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NZ" w:eastAsia="en-NZ"/>
              </w:rPr>
              <w:t>:  4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6D023A" w:rsidRDefault="00F5792D" w:rsidP="00BE22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NZ" w:eastAsia="en-NZ"/>
              </w:rPr>
            </w:pPr>
            <w:r w:rsidRPr="005E2F1D">
              <w:rPr>
                <w:rFonts w:ascii="Calibri" w:eastAsia="Times New Roman" w:hAnsi="Calibri" w:cs="Times New Roman"/>
                <w:sz w:val="20"/>
                <w:szCs w:val="20"/>
                <w:lang w:val="en-NZ" w:eastAsia="en-NZ"/>
              </w:rPr>
              <w:t>Increasing EO delivery and uptake of communications and training materials that contribute to a safe inclusive and equitable University environment.</w:t>
            </w:r>
          </w:p>
          <w:p w:rsidR="00791275" w:rsidRDefault="00791275" w:rsidP="00BE22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NZ" w:eastAsia="en-NZ"/>
              </w:rPr>
            </w:pPr>
          </w:p>
          <w:p w:rsidR="00791275" w:rsidRPr="005E2F1D" w:rsidRDefault="00791275" w:rsidP="00BE22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NZ" w:eastAsia="en-NZ"/>
              </w:rPr>
            </w:pPr>
          </w:p>
          <w:p w:rsidR="006D023A" w:rsidRDefault="006D023A" w:rsidP="00BE22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NZ" w:eastAsia="en-NZ"/>
              </w:rPr>
            </w:pPr>
          </w:p>
          <w:p w:rsidR="00791275" w:rsidRPr="005E2F1D" w:rsidRDefault="00791275" w:rsidP="00BE22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NZ" w:eastAsia="en-NZ"/>
              </w:rPr>
            </w:pPr>
          </w:p>
          <w:p w:rsidR="006D023A" w:rsidRPr="005E2F1D" w:rsidRDefault="006D023A" w:rsidP="00BE22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NZ" w:eastAsia="en-NZ"/>
              </w:rPr>
            </w:pPr>
          </w:p>
          <w:p w:rsidR="006D023A" w:rsidRPr="005E2F1D" w:rsidRDefault="006D023A" w:rsidP="00BE22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NZ" w:eastAsia="en-NZ"/>
              </w:rPr>
            </w:pPr>
          </w:p>
        </w:tc>
        <w:tc>
          <w:tcPr>
            <w:tcW w:w="2202" w:type="dxa"/>
            <w:vMerge w:val="restart"/>
            <w:shd w:val="clear" w:color="000000" w:fill="FFFFFF"/>
            <w:noWrap/>
            <w:vAlign w:val="center"/>
            <w:hideMark/>
          </w:tcPr>
          <w:p w:rsidR="003867AA" w:rsidRPr="00DD0CC4" w:rsidRDefault="00CA1D70" w:rsidP="00BE2261">
            <w:pPr>
              <w:numPr>
                <w:ilvl w:val="0"/>
                <w:numId w:val="20"/>
              </w:numPr>
              <w:spacing w:after="0" w:line="240" w:lineRule="auto"/>
              <w:ind w:left="317" w:hanging="283"/>
              <w:rPr>
                <w:rFonts w:ascii="Calibri" w:eastAsia="Times New Roman" w:hAnsi="Calibri" w:cs="Times New Roman"/>
                <w:sz w:val="20"/>
                <w:szCs w:val="20"/>
                <w:lang w:val="en-NZ" w:eastAsia="en-NZ"/>
              </w:rPr>
            </w:pPr>
            <w:r w:rsidRPr="005E2F1D">
              <w:rPr>
                <w:rFonts w:ascii="Calibri" w:eastAsia="Times New Roman" w:hAnsi="Calibri" w:cs="Times New Roman"/>
                <w:sz w:val="20"/>
                <w:szCs w:val="20"/>
                <w:lang w:val="en-NZ" w:eastAsia="en-NZ"/>
              </w:rPr>
              <w:t>Increase in the number of equity focused questions added to the Knowledge Base</w:t>
            </w:r>
            <w:r w:rsidR="00DD0CC4">
              <w:rPr>
                <w:rFonts w:ascii="Calibri" w:eastAsia="Times New Roman" w:hAnsi="Calibri" w:cs="Times New Roman"/>
                <w:sz w:val="20"/>
                <w:szCs w:val="20"/>
                <w:lang w:val="en-NZ" w:eastAsia="en-NZ"/>
              </w:rPr>
              <w:t xml:space="preserve"> by 5 per annum</w:t>
            </w:r>
            <w:r w:rsidRPr="005E2F1D">
              <w:rPr>
                <w:rFonts w:ascii="Calibri" w:eastAsia="Times New Roman" w:hAnsi="Calibri" w:cs="Times New Roman"/>
                <w:sz w:val="20"/>
                <w:szCs w:val="20"/>
                <w:lang w:val="en-NZ" w:eastAsia="en-NZ"/>
              </w:rPr>
              <w:t xml:space="preserve"> </w:t>
            </w:r>
          </w:p>
          <w:p w:rsidR="003867AA" w:rsidRDefault="00604B47" w:rsidP="00296E2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17" w:hanging="283"/>
              <w:rPr>
                <w:rFonts w:cs="Times New Roman"/>
                <w:sz w:val="20"/>
                <w:szCs w:val="20"/>
              </w:rPr>
            </w:pPr>
            <w:r w:rsidRPr="00296E22">
              <w:rPr>
                <w:rFonts w:cs="Times New Roman"/>
                <w:sz w:val="20"/>
                <w:szCs w:val="20"/>
              </w:rPr>
              <w:t xml:space="preserve">Increase annual page views by </w:t>
            </w:r>
            <w:r w:rsidR="007D0C28" w:rsidRPr="00296E22">
              <w:rPr>
                <w:rFonts w:cs="Times New Roman"/>
                <w:sz w:val="20"/>
                <w:szCs w:val="20"/>
              </w:rPr>
              <w:t>2</w:t>
            </w:r>
            <w:r w:rsidRPr="00296E22">
              <w:rPr>
                <w:rFonts w:cs="Times New Roman"/>
                <w:sz w:val="20"/>
                <w:szCs w:val="20"/>
              </w:rPr>
              <w:t xml:space="preserve"> % </w:t>
            </w:r>
            <w:r w:rsidR="00DD0CC4">
              <w:rPr>
                <w:rFonts w:cs="Times New Roman"/>
                <w:sz w:val="20"/>
                <w:szCs w:val="20"/>
              </w:rPr>
              <w:t>per annum</w:t>
            </w:r>
          </w:p>
          <w:p w:rsidR="0068236A" w:rsidRPr="00296E22" w:rsidRDefault="0068236A" w:rsidP="0068236A">
            <w:pPr>
              <w:pStyle w:val="ListParagraph"/>
              <w:spacing w:after="0" w:line="240" w:lineRule="auto"/>
              <w:ind w:left="317"/>
              <w:rPr>
                <w:rFonts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(NB: equity website was frozen for approximately </w:t>
            </w:r>
            <w:r w:rsidR="004A508C">
              <w:rPr>
                <w:rFonts w:ascii="Calibri" w:eastAsia="Times New Roman" w:hAnsi="Calibri" w:cs="Times New Roman"/>
                <w:sz w:val="20"/>
                <w:szCs w:val="20"/>
              </w:rPr>
              <w:t xml:space="preserve">6 weeks 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due to migration of content to new website.  This has affected KPI achievement.)</w:t>
            </w:r>
          </w:p>
          <w:p w:rsidR="00811D2A" w:rsidRDefault="00277996" w:rsidP="00811D2A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17" w:hanging="28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Grow annual </w:t>
            </w:r>
            <w:r w:rsidR="002C1CF0">
              <w:rPr>
                <w:rFonts w:cs="Times New Roman"/>
                <w:sz w:val="20"/>
                <w:szCs w:val="20"/>
              </w:rPr>
              <w:t xml:space="preserve">Facebook </w:t>
            </w:r>
            <w:r w:rsidR="000D58E9">
              <w:rPr>
                <w:rFonts w:cs="Times New Roman"/>
                <w:sz w:val="20"/>
                <w:szCs w:val="20"/>
              </w:rPr>
              <w:t>followers</w:t>
            </w:r>
            <w:r w:rsidR="007D0C28" w:rsidRPr="00277996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by 2%</w:t>
            </w:r>
            <w:r w:rsidR="000D58E9">
              <w:rPr>
                <w:rFonts w:cs="Times New Roman"/>
                <w:sz w:val="20"/>
                <w:szCs w:val="20"/>
              </w:rPr>
              <w:t xml:space="preserve"> on Our Village, Our </w:t>
            </w:r>
            <w:r w:rsidR="00576498">
              <w:rPr>
                <w:rFonts w:cs="Times New Roman"/>
                <w:sz w:val="20"/>
                <w:szCs w:val="20"/>
              </w:rPr>
              <w:t>Kāinga</w:t>
            </w:r>
          </w:p>
          <w:p w:rsidR="00E80DC3" w:rsidRPr="005E2F1D" w:rsidRDefault="002879AE" w:rsidP="00BE2261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17" w:hanging="283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879AE">
              <w:rPr>
                <w:rFonts w:ascii="Calibri" w:eastAsia="Calibri" w:hAnsi="Calibri" w:cs="Times New Roman"/>
                <w:sz w:val="20"/>
                <w:szCs w:val="20"/>
              </w:rPr>
              <w:t>Ensure that a staff equity webpage is ranked in the top 15 Equity webpages</w:t>
            </w:r>
            <w:r w:rsidR="007D1349">
              <w:rPr>
                <w:rFonts w:ascii="Calibri" w:eastAsia="Calibri" w:hAnsi="Calibri" w:cs="Times New Roman"/>
                <w:sz w:val="20"/>
                <w:szCs w:val="20"/>
              </w:rPr>
              <w:t xml:space="preserve"> visited</w:t>
            </w:r>
            <w:r w:rsidRPr="002879AE">
              <w:rPr>
                <w:rFonts w:ascii="Calibri" w:eastAsia="Calibri" w:hAnsi="Calibri" w:cs="Times New Roman"/>
                <w:sz w:val="20"/>
                <w:szCs w:val="20"/>
              </w:rPr>
              <w:t xml:space="preserve"> as a key measure of increasing awareness of staff equity policies and initiatives. </w:t>
            </w:r>
          </w:p>
        </w:tc>
        <w:tc>
          <w:tcPr>
            <w:tcW w:w="1276" w:type="dxa"/>
            <w:vMerge w:val="restart"/>
            <w:shd w:val="clear" w:color="000000" w:fill="FFFFFF"/>
            <w:noWrap/>
            <w:hideMark/>
          </w:tcPr>
          <w:p w:rsidR="00604B47" w:rsidRPr="0068236A" w:rsidRDefault="006D023A" w:rsidP="003D17B9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68236A">
              <w:rPr>
                <w:rFonts w:ascii="Calibri" w:hAnsi="Calibri"/>
                <w:sz w:val="20"/>
                <w:szCs w:val="20"/>
              </w:rPr>
              <w:t>1</w:t>
            </w:r>
            <w:r w:rsidR="00E80DC3" w:rsidRPr="0068236A">
              <w:rPr>
                <w:rFonts w:ascii="Calibri" w:hAnsi="Calibri"/>
                <w:sz w:val="20"/>
                <w:szCs w:val="20"/>
              </w:rPr>
              <w:t>.</w:t>
            </w:r>
            <w:r w:rsidR="00167AB9">
              <w:rPr>
                <w:rFonts w:ascii="Calibri" w:hAnsi="Calibri"/>
                <w:sz w:val="20"/>
                <w:szCs w:val="20"/>
              </w:rPr>
              <w:t xml:space="preserve"> </w:t>
            </w:r>
            <w:r w:rsidR="003D17B9">
              <w:rPr>
                <w:rFonts w:ascii="Calibri" w:hAnsi="Calibri"/>
                <w:sz w:val="20"/>
                <w:szCs w:val="20"/>
              </w:rPr>
              <w:t>Achieved</w:t>
            </w:r>
          </w:p>
          <w:p w:rsidR="00BD52FA" w:rsidRPr="0068236A" w:rsidRDefault="00EB5599" w:rsidP="00167AB9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68236A">
              <w:rPr>
                <w:rFonts w:ascii="Calibri" w:hAnsi="Calibri"/>
                <w:sz w:val="20"/>
                <w:szCs w:val="20"/>
              </w:rPr>
              <w:t xml:space="preserve">2. </w:t>
            </w:r>
            <w:r w:rsidR="00A7328E" w:rsidRPr="0068236A">
              <w:rPr>
                <w:rFonts w:ascii="Calibri" w:hAnsi="Calibri"/>
                <w:sz w:val="20"/>
                <w:szCs w:val="20"/>
              </w:rPr>
              <w:t>68</w:t>
            </w:r>
            <w:r w:rsidR="009B024D" w:rsidRPr="0068236A">
              <w:rPr>
                <w:rFonts w:ascii="Calibri" w:hAnsi="Calibri"/>
                <w:sz w:val="20"/>
                <w:szCs w:val="20"/>
              </w:rPr>
              <w:t>,000 page views</w:t>
            </w:r>
          </w:p>
          <w:p w:rsidR="003D688A" w:rsidRPr="0068236A" w:rsidRDefault="00BD52FA" w:rsidP="00167AB9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68236A">
              <w:rPr>
                <w:rFonts w:ascii="Calibri" w:hAnsi="Calibri"/>
                <w:sz w:val="20"/>
                <w:szCs w:val="20"/>
              </w:rPr>
              <w:t>3.</w:t>
            </w:r>
            <w:r w:rsidR="00167AB9">
              <w:rPr>
                <w:rFonts w:ascii="Calibri" w:hAnsi="Calibri"/>
                <w:sz w:val="20"/>
                <w:szCs w:val="20"/>
              </w:rPr>
              <w:t xml:space="preserve"> </w:t>
            </w:r>
            <w:r w:rsidR="00277996" w:rsidRPr="0068236A">
              <w:rPr>
                <w:rFonts w:ascii="Calibri" w:hAnsi="Calibri"/>
                <w:sz w:val="20"/>
                <w:szCs w:val="20"/>
              </w:rPr>
              <w:t>Achieved</w:t>
            </w:r>
          </w:p>
          <w:p w:rsidR="00BD52FA" w:rsidRPr="00272DF9" w:rsidRDefault="00DD0CC4" w:rsidP="00167AB9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68236A">
              <w:rPr>
                <w:rFonts w:ascii="Calibri" w:hAnsi="Calibri"/>
                <w:sz w:val="20"/>
                <w:szCs w:val="20"/>
              </w:rPr>
              <w:t>4.</w:t>
            </w:r>
            <w:r w:rsidR="002C1CF0" w:rsidRPr="0068236A">
              <w:rPr>
                <w:rFonts w:ascii="Calibri" w:hAnsi="Calibri"/>
                <w:sz w:val="20"/>
                <w:szCs w:val="20"/>
              </w:rPr>
              <w:t xml:space="preserve"> </w:t>
            </w:r>
            <w:r w:rsidR="00167AB9">
              <w:rPr>
                <w:rFonts w:ascii="Calibri" w:hAnsi="Calibri"/>
                <w:sz w:val="20"/>
                <w:szCs w:val="20"/>
              </w:rPr>
              <w:t xml:space="preserve"> </w:t>
            </w:r>
            <w:r w:rsidR="0095397D">
              <w:rPr>
                <w:rFonts w:ascii="Calibri" w:hAnsi="Calibri"/>
                <w:sz w:val="20"/>
                <w:szCs w:val="20"/>
              </w:rPr>
              <w:t>Achieved (ranking: 13)</w:t>
            </w:r>
            <w:r w:rsidR="0051215B" w:rsidRPr="0068236A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BD52FA" w:rsidRPr="00272DF9" w:rsidRDefault="00BD52FA" w:rsidP="00167AB9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  <w:p w:rsidR="00BD52FA" w:rsidRPr="00272DF9" w:rsidRDefault="00BD52FA" w:rsidP="00167AB9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  <w:p w:rsidR="00BD52FA" w:rsidRPr="00272DF9" w:rsidRDefault="00BD52FA" w:rsidP="00167AB9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  <w:p w:rsidR="00BD52FA" w:rsidRPr="00272DF9" w:rsidRDefault="00BD52FA" w:rsidP="00167AB9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  <w:p w:rsidR="00BD52FA" w:rsidRPr="00272DF9" w:rsidRDefault="00BD52FA" w:rsidP="00167AB9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  <w:p w:rsidR="003D688A" w:rsidRPr="00272DF9" w:rsidRDefault="003D688A" w:rsidP="00167AB9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  <w:p w:rsidR="00BD52FA" w:rsidRPr="00272DF9" w:rsidRDefault="00BD52FA" w:rsidP="00167AB9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  <w:p w:rsidR="00BD52FA" w:rsidRPr="00272DF9" w:rsidRDefault="00BD52FA" w:rsidP="00167AB9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  <w:p w:rsidR="00BD52FA" w:rsidRPr="00272DF9" w:rsidRDefault="00BD52FA" w:rsidP="00167AB9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  <w:p w:rsidR="00BD52FA" w:rsidRPr="00272DF9" w:rsidRDefault="00BD52FA" w:rsidP="00167AB9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  <w:p w:rsidR="003D688A" w:rsidRPr="00272DF9" w:rsidRDefault="003D688A" w:rsidP="00167AB9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  <w:p w:rsidR="00CA1D70" w:rsidRPr="00272DF9" w:rsidRDefault="00CA1D70" w:rsidP="00167AB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28" w:type="dxa"/>
            <w:vMerge w:val="restart"/>
            <w:shd w:val="clear" w:color="000000" w:fill="FFFFFF"/>
            <w:noWrap/>
            <w:hideMark/>
          </w:tcPr>
          <w:p w:rsidR="00604B47" w:rsidRPr="007D5058" w:rsidRDefault="00167AB9" w:rsidP="00A84D81">
            <w:pPr>
              <w:spacing w:after="0" w:line="240" w:lineRule="auto"/>
              <w:ind w:right="-111"/>
              <w:rPr>
                <w:sz w:val="20"/>
                <w:szCs w:val="20"/>
              </w:rPr>
            </w:pPr>
            <w:r w:rsidRPr="007D5058">
              <w:rPr>
                <w:sz w:val="20"/>
                <w:szCs w:val="20"/>
              </w:rPr>
              <w:t xml:space="preserve">1. </w:t>
            </w:r>
            <w:r w:rsidR="00A84D81" w:rsidRPr="007D5058">
              <w:rPr>
                <w:sz w:val="20"/>
                <w:szCs w:val="20"/>
              </w:rPr>
              <w:t>Achieved</w:t>
            </w:r>
          </w:p>
          <w:p w:rsidR="00B827D6" w:rsidRDefault="00EB5599" w:rsidP="007D5058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7D5058">
              <w:rPr>
                <w:rFonts w:ascii="Calibri" w:hAnsi="Calibri"/>
                <w:sz w:val="20"/>
                <w:szCs w:val="20"/>
              </w:rPr>
              <w:t>2.</w:t>
            </w:r>
            <w:r w:rsidR="00167AB9" w:rsidRPr="007D5058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D5058" w:rsidRPr="007D5058">
              <w:rPr>
                <w:rFonts w:ascii="Calibri" w:hAnsi="Calibri"/>
                <w:sz w:val="20"/>
                <w:szCs w:val="20"/>
              </w:rPr>
              <w:t xml:space="preserve">N/A </w:t>
            </w:r>
          </w:p>
          <w:p w:rsidR="007D5058" w:rsidRPr="00A640F3" w:rsidRDefault="007D5058" w:rsidP="007D5058">
            <w:pPr>
              <w:spacing w:after="0" w:line="240" w:lineRule="auto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/>
                <w:sz w:val="20"/>
                <w:szCs w:val="20"/>
              </w:rPr>
              <w:t>[see note]</w:t>
            </w:r>
          </w:p>
          <w:p w:rsidR="0051215B" w:rsidRPr="008A397A" w:rsidRDefault="00DD0CC4" w:rsidP="00167AB9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8A397A">
              <w:rPr>
                <w:rFonts w:ascii="Calibri" w:hAnsi="Calibri"/>
                <w:sz w:val="20"/>
                <w:szCs w:val="20"/>
              </w:rPr>
              <w:t>3.</w:t>
            </w:r>
            <w:r w:rsidR="00167AB9">
              <w:rPr>
                <w:rFonts w:ascii="Calibri" w:hAnsi="Calibri"/>
                <w:sz w:val="20"/>
                <w:szCs w:val="20"/>
              </w:rPr>
              <w:t xml:space="preserve"> </w:t>
            </w:r>
            <w:r w:rsidR="00277996" w:rsidRPr="008A397A">
              <w:rPr>
                <w:rFonts w:ascii="Calibri" w:hAnsi="Calibri"/>
                <w:sz w:val="20"/>
                <w:szCs w:val="20"/>
              </w:rPr>
              <w:t>Achieved</w:t>
            </w:r>
          </w:p>
          <w:p w:rsidR="0051215B" w:rsidRPr="00031B16" w:rsidRDefault="00DD0CC4" w:rsidP="00167AB9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7D5058">
              <w:rPr>
                <w:rFonts w:ascii="Calibri" w:hAnsi="Calibri"/>
                <w:sz w:val="20"/>
                <w:szCs w:val="20"/>
              </w:rPr>
              <w:t>4.</w:t>
            </w:r>
            <w:r w:rsidR="00A84D81" w:rsidRPr="007D5058">
              <w:rPr>
                <w:rFonts w:ascii="Calibri" w:hAnsi="Calibri"/>
                <w:sz w:val="20"/>
                <w:szCs w:val="20"/>
              </w:rPr>
              <w:t>Achieved</w:t>
            </w:r>
            <w:r w:rsidR="0095397D">
              <w:rPr>
                <w:rFonts w:ascii="Calibri" w:hAnsi="Calibri"/>
                <w:sz w:val="20"/>
                <w:szCs w:val="20"/>
              </w:rPr>
              <w:t xml:space="preserve"> (ranking: 3)</w:t>
            </w:r>
          </w:p>
          <w:p w:rsidR="00272DF9" w:rsidRPr="00031B16" w:rsidRDefault="00272DF9" w:rsidP="00167AB9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  <w:p w:rsidR="00272DF9" w:rsidRPr="00031B16" w:rsidRDefault="00272DF9" w:rsidP="00167AB9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  <w:p w:rsidR="00791275" w:rsidRPr="00031B16" w:rsidRDefault="00791275" w:rsidP="00167AB9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  <w:p w:rsidR="003D688A" w:rsidRPr="00031B16" w:rsidRDefault="003D688A" w:rsidP="00167AB9">
            <w:pPr>
              <w:rPr>
                <w:rFonts w:ascii="Calibri" w:hAnsi="Calibri"/>
                <w:sz w:val="20"/>
                <w:szCs w:val="20"/>
                <w:highlight w:val="yellow"/>
              </w:rPr>
            </w:pPr>
          </w:p>
          <w:p w:rsidR="00791275" w:rsidRPr="00031B16" w:rsidRDefault="00791275" w:rsidP="00167AB9">
            <w:pPr>
              <w:rPr>
                <w:rFonts w:ascii="Calibri" w:hAnsi="Calibri"/>
                <w:sz w:val="20"/>
                <w:szCs w:val="20"/>
                <w:highlight w:val="yellow"/>
              </w:rPr>
            </w:pPr>
          </w:p>
          <w:p w:rsidR="00DD0CC4" w:rsidRPr="00031B16" w:rsidRDefault="00DD0CC4" w:rsidP="00167AB9">
            <w:pPr>
              <w:rPr>
                <w:rFonts w:ascii="Calibri" w:hAnsi="Calibri"/>
                <w:sz w:val="20"/>
                <w:szCs w:val="20"/>
                <w:highlight w:val="yellow"/>
              </w:rPr>
            </w:pPr>
          </w:p>
          <w:p w:rsidR="00DD0CC4" w:rsidRPr="00031B16" w:rsidRDefault="00DD0CC4" w:rsidP="00167AB9">
            <w:pPr>
              <w:rPr>
                <w:rFonts w:ascii="Calibri" w:hAnsi="Calibri"/>
                <w:sz w:val="20"/>
                <w:szCs w:val="20"/>
                <w:highlight w:val="yellow"/>
              </w:rPr>
            </w:pPr>
          </w:p>
          <w:p w:rsidR="003D688A" w:rsidRPr="00031B16" w:rsidRDefault="003D688A" w:rsidP="00167AB9">
            <w:pPr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 w:val="restart"/>
            <w:shd w:val="clear" w:color="000000" w:fill="FFFFFF"/>
            <w:noWrap/>
            <w:hideMark/>
          </w:tcPr>
          <w:p w:rsidR="00A7328E" w:rsidRPr="00031B16" w:rsidRDefault="00A7328E" w:rsidP="00BE2261">
            <w:pPr>
              <w:spacing w:after="0" w:line="240" w:lineRule="auto"/>
              <w:rPr>
                <w:sz w:val="20"/>
                <w:szCs w:val="20"/>
              </w:rPr>
            </w:pPr>
            <w:r w:rsidRPr="00031B16">
              <w:rPr>
                <w:sz w:val="20"/>
                <w:szCs w:val="20"/>
              </w:rPr>
              <w:t>1.</w:t>
            </w:r>
            <w:r w:rsidR="00BE2261">
              <w:rPr>
                <w:sz w:val="20"/>
                <w:szCs w:val="20"/>
              </w:rPr>
              <w:t xml:space="preserve"> </w:t>
            </w:r>
            <w:r w:rsidR="00031B16" w:rsidRPr="00031B16">
              <w:rPr>
                <w:sz w:val="20"/>
                <w:szCs w:val="20"/>
              </w:rPr>
              <w:t>N/A</w:t>
            </w:r>
          </w:p>
          <w:p w:rsidR="003D688A" w:rsidRPr="00031B16" w:rsidRDefault="006D023A" w:rsidP="00BE2261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031B16">
              <w:rPr>
                <w:sz w:val="20"/>
                <w:szCs w:val="20"/>
              </w:rPr>
              <w:t>2.</w:t>
            </w:r>
            <w:r w:rsidR="00BE2261">
              <w:rPr>
                <w:sz w:val="20"/>
                <w:szCs w:val="20"/>
              </w:rPr>
              <w:t xml:space="preserve"> </w:t>
            </w:r>
            <w:r w:rsidR="00031B16" w:rsidRPr="00031B16">
              <w:rPr>
                <w:sz w:val="20"/>
                <w:szCs w:val="20"/>
              </w:rPr>
              <w:t>N/A</w:t>
            </w:r>
          </w:p>
          <w:p w:rsidR="0051215B" w:rsidRPr="00031B16" w:rsidRDefault="00DD0CC4" w:rsidP="00BE2261">
            <w:pPr>
              <w:spacing w:after="0" w:line="240" w:lineRule="auto"/>
              <w:rPr>
                <w:sz w:val="20"/>
                <w:szCs w:val="20"/>
              </w:rPr>
            </w:pPr>
            <w:r w:rsidRPr="00031B16">
              <w:rPr>
                <w:sz w:val="20"/>
                <w:szCs w:val="20"/>
              </w:rPr>
              <w:t>3.</w:t>
            </w:r>
            <w:r w:rsidR="00BE2261">
              <w:rPr>
                <w:sz w:val="20"/>
                <w:szCs w:val="20"/>
              </w:rPr>
              <w:t xml:space="preserve"> </w:t>
            </w:r>
            <w:r w:rsidR="00031B16" w:rsidRPr="00031B16">
              <w:rPr>
                <w:sz w:val="20"/>
                <w:szCs w:val="20"/>
              </w:rPr>
              <w:t>N/A</w:t>
            </w:r>
          </w:p>
          <w:p w:rsidR="0051215B" w:rsidRPr="00031B16" w:rsidRDefault="00272DF9" w:rsidP="00BE2261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031B16">
              <w:rPr>
                <w:rFonts w:ascii="Calibri" w:hAnsi="Calibri"/>
                <w:sz w:val="20"/>
                <w:szCs w:val="20"/>
              </w:rPr>
              <w:t>4.</w:t>
            </w:r>
            <w:r w:rsidR="00BE2261">
              <w:rPr>
                <w:rFonts w:ascii="Calibri" w:hAnsi="Calibri"/>
                <w:sz w:val="20"/>
                <w:szCs w:val="20"/>
              </w:rPr>
              <w:t xml:space="preserve"> </w:t>
            </w:r>
            <w:r w:rsidR="00031B16" w:rsidRPr="00031B16">
              <w:rPr>
                <w:rFonts w:ascii="Calibri" w:hAnsi="Calibri"/>
                <w:sz w:val="20"/>
                <w:szCs w:val="20"/>
              </w:rPr>
              <w:t>N/A</w:t>
            </w:r>
          </w:p>
          <w:p w:rsidR="003D688A" w:rsidRPr="00031B16" w:rsidRDefault="003D688A" w:rsidP="00BE2261">
            <w:pPr>
              <w:rPr>
                <w:rFonts w:ascii="Calibri" w:hAnsi="Calibri"/>
                <w:sz w:val="20"/>
                <w:szCs w:val="20"/>
              </w:rPr>
            </w:pPr>
          </w:p>
          <w:p w:rsidR="003E2FBF" w:rsidRPr="00031B16" w:rsidRDefault="003E2FBF" w:rsidP="00BE2261">
            <w:pPr>
              <w:rPr>
                <w:rFonts w:ascii="Calibri" w:hAnsi="Calibri"/>
                <w:sz w:val="20"/>
                <w:szCs w:val="20"/>
              </w:rPr>
            </w:pPr>
          </w:p>
          <w:p w:rsidR="003E2FBF" w:rsidRPr="00031B16" w:rsidRDefault="003E2FBF" w:rsidP="00BE2261">
            <w:pPr>
              <w:rPr>
                <w:rFonts w:ascii="Calibri" w:hAnsi="Calibri"/>
                <w:sz w:val="20"/>
                <w:szCs w:val="20"/>
              </w:rPr>
            </w:pPr>
          </w:p>
          <w:p w:rsidR="003E2FBF" w:rsidRPr="00031B16" w:rsidRDefault="003E2FBF" w:rsidP="00BE2261">
            <w:pPr>
              <w:rPr>
                <w:rFonts w:ascii="Calibri" w:hAnsi="Calibri"/>
                <w:sz w:val="20"/>
                <w:szCs w:val="20"/>
              </w:rPr>
            </w:pPr>
          </w:p>
          <w:p w:rsidR="003E2FBF" w:rsidRPr="00031B16" w:rsidRDefault="003E2FBF" w:rsidP="00BE2261">
            <w:pPr>
              <w:rPr>
                <w:rFonts w:ascii="Calibri" w:hAnsi="Calibri"/>
                <w:sz w:val="20"/>
                <w:szCs w:val="20"/>
              </w:rPr>
            </w:pPr>
          </w:p>
          <w:p w:rsidR="003E2FBF" w:rsidRPr="00031B16" w:rsidRDefault="003E2FBF" w:rsidP="00BE2261">
            <w:pPr>
              <w:rPr>
                <w:rFonts w:ascii="Calibri" w:hAnsi="Calibri"/>
                <w:sz w:val="20"/>
                <w:szCs w:val="20"/>
              </w:rPr>
            </w:pPr>
          </w:p>
          <w:p w:rsidR="003E2FBF" w:rsidRPr="00031B16" w:rsidRDefault="003E2FBF" w:rsidP="00BE2261">
            <w:pPr>
              <w:rPr>
                <w:rFonts w:ascii="Calibri" w:hAnsi="Calibri"/>
                <w:sz w:val="20"/>
                <w:szCs w:val="20"/>
              </w:rPr>
            </w:pPr>
          </w:p>
          <w:p w:rsidR="003E2FBF" w:rsidRPr="00031B16" w:rsidRDefault="003E2FBF" w:rsidP="00BE226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000000" w:fill="FFFFFF"/>
            <w:noWrap/>
            <w:hideMark/>
          </w:tcPr>
          <w:p w:rsidR="00604B47" w:rsidRPr="00031B16" w:rsidRDefault="00604B47" w:rsidP="00BE2261">
            <w:pPr>
              <w:spacing w:after="0" w:line="240" w:lineRule="auto"/>
              <w:rPr>
                <w:sz w:val="20"/>
                <w:szCs w:val="20"/>
              </w:rPr>
            </w:pPr>
            <w:r w:rsidRPr="00031B16">
              <w:rPr>
                <w:sz w:val="20"/>
                <w:szCs w:val="20"/>
              </w:rPr>
              <w:t>1.</w:t>
            </w:r>
            <w:r w:rsidR="00BE2261">
              <w:rPr>
                <w:sz w:val="20"/>
                <w:szCs w:val="20"/>
              </w:rPr>
              <w:t xml:space="preserve"> </w:t>
            </w:r>
            <w:r w:rsidR="00031B16" w:rsidRPr="00031B16">
              <w:rPr>
                <w:sz w:val="20"/>
                <w:szCs w:val="20"/>
              </w:rPr>
              <w:t>N/A</w:t>
            </w:r>
          </w:p>
          <w:p w:rsidR="003D688A" w:rsidRPr="00031B16" w:rsidRDefault="006D023A" w:rsidP="00BE2261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031B16">
              <w:rPr>
                <w:sz w:val="20"/>
                <w:szCs w:val="20"/>
              </w:rPr>
              <w:t>2.</w:t>
            </w:r>
            <w:r w:rsidR="00BE2261">
              <w:rPr>
                <w:sz w:val="20"/>
                <w:szCs w:val="20"/>
              </w:rPr>
              <w:t xml:space="preserve"> </w:t>
            </w:r>
            <w:r w:rsidR="00031B16" w:rsidRPr="00031B16">
              <w:rPr>
                <w:sz w:val="20"/>
                <w:szCs w:val="20"/>
              </w:rPr>
              <w:t>N/A</w:t>
            </w:r>
          </w:p>
          <w:p w:rsidR="00E80DC3" w:rsidRPr="00031B16" w:rsidRDefault="00DD0CC4" w:rsidP="00BE2261">
            <w:pPr>
              <w:spacing w:after="0" w:line="240" w:lineRule="auto"/>
              <w:rPr>
                <w:sz w:val="20"/>
                <w:szCs w:val="20"/>
              </w:rPr>
            </w:pPr>
            <w:r w:rsidRPr="00031B16">
              <w:rPr>
                <w:sz w:val="20"/>
                <w:szCs w:val="20"/>
              </w:rPr>
              <w:t>3.</w:t>
            </w:r>
            <w:r w:rsidR="00BE2261">
              <w:rPr>
                <w:sz w:val="20"/>
                <w:szCs w:val="20"/>
              </w:rPr>
              <w:t xml:space="preserve"> </w:t>
            </w:r>
            <w:r w:rsidR="00031B16" w:rsidRPr="00031B16">
              <w:rPr>
                <w:sz w:val="20"/>
                <w:szCs w:val="20"/>
              </w:rPr>
              <w:t>N/A</w:t>
            </w:r>
          </w:p>
          <w:p w:rsidR="0051215B" w:rsidRPr="00031B16" w:rsidRDefault="00272DF9" w:rsidP="00BE2261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031B16">
              <w:rPr>
                <w:rFonts w:ascii="Calibri" w:hAnsi="Calibri"/>
                <w:sz w:val="20"/>
                <w:szCs w:val="20"/>
              </w:rPr>
              <w:t>4.</w:t>
            </w:r>
            <w:r w:rsidR="00BE2261">
              <w:rPr>
                <w:rFonts w:ascii="Calibri" w:hAnsi="Calibri"/>
                <w:sz w:val="20"/>
                <w:szCs w:val="20"/>
              </w:rPr>
              <w:t xml:space="preserve"> </w:t>
            </w:r>
            <w:r w:rsidR="00031B16" w:rsidRPr="00031B16">
              <w:rPr>
                <w:rFonts w:ascii="Calibri" w:hAnsi="Calibri"/>
                <w:sz w:val="20"/>
                <w:szCs w:val="20"/>
              </w:rPr>
              <w:t>N/A</w:t>
            </w:r>
          </w:p>
          <w:p w:rsidR="00272DF9" w:rsidRPr="00031B16" w:rsidRDefault="00272DF9" w:rsidP="00BE2261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  <w:p w:rsidR="00272DF9" w:rsidRPr="00031B16" w:rsidRDefault="00272DF9" w:rsidP="00BE2261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  <w:p w:rsidR="00272DF9" w:rsidRPr="00031B16" w:rsidRDefault="00272DF9" w:rsidP="00BE2261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  <w:p w:rsidR="00272DF9" w:rsidRPr="00031B16" w:rsidRDefault="00272DF9" w:rsidP="00BE2261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  <w:p w:rsidR="00272DF9" w:rsidRPr="00031B16" w:rsidRDefault="00272DF9" w:rsidP="00BE2261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  <w:p w:rsidR="00272DF9" w:rsidRPr="00031B16" w:rsidRDefault="00272DF9" w:rsidP="00BE2261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  <w:p w:rsidR="006E2C93" w:rsidRPr="00031B16" w:rsidRDefault="006E2C93" w:rsidP="00BE2261">
            <w:pPr>
              <w:rPr>
                <w:sz w:val="20"/>
                <w:szCs w:val="20"/>
              </w:rPr>
            </w:pPr>
          </w:p>
          <w:p w:rsidR="00EB7729" w:rsidRPr="00031B16" w:rsidRDefault="00EB7729" w:rsidP="00BE2261">
            <w:pPr>
              <w:rPr>
                <w:sz w:val="20"/>
                <w:szCs w:val="20"/>
              </w:rPr>
            </w:pPr>
          </w:p>
          <w:p w:rsidR="00EB7729" w:rsidRPr="00031B16" w:rsidRDefault="00EB7729" w:rsidP="00BE2261">
            <w:pPr>
              <w:rPr>
                <w:sz w:val="20"/>
                <w:szCs w:val="20"/>
              </w:rPr>
            </w:pPr>
          </w:p>
          <w:p w:rsidR="00272DF9" w:rsidRPr="00031B16" w:rsidRDefault="00272DF9" w:rsidP="00BE2261">
            <w:pPr>
              <w:rPr>
                <w:sz w:val="20"/>
                <w:szCs w:val="20"/>
              </w:rPr>
            </w:pPr>
          </w:p>
          <w:p w:rsidR="006E2C93" w:rsidRPr="00031B16" w:rsidRDefault="006E2C93" w:rsidP="00BE2261">
            <w:pPr>
              <w:rPr>
                <w:sz w:val="20"/>
                <w:szCs w:val="20"/>
              </w:rPr>
            </w:pPr>
          </w:p>
          <w:p w:rsidR="00791275" w:rsidRPr="00031B16" w:rsidRDefault="00791275" w:rsidP="00BE2261">
            <w:pPr>
              <w:rPr>
                <w:sz w:val="20"/>
                <w:szCs w:val="20"/>
              </w:rPr>
            </w:pPr>
          </w:p>
        </w:tc>
      </w:tr>
      <w:tr w:rsidR="006D023A" w:rsidRPr="00972CA1" w:rsidTr="00BE2261">
        <w:trPr>
          <w:trHeight w:val="6518"/>
        </w:trPr>
        <w:tc>
          <w:tcPr>
            <w:tcW w:w="1276" w:type="dxa"/>
            <w:vMerge/>
            <w:vAlign w:val="center"/>
            <w:hideMark/>
          </w:tcPr>
          <w:p w:rsidR="006D023A" w:rsidRPr="00972CA1" w:rsidRDefault="006D023A" w:rsidP="00877BF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val="en-NZ" w:eastAsia="en-NZ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6D023A" w:rsidRPr="00972CA1" w:rsidRDefault="006D023A" w:rsidP="00877BF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val="en-NZ" w:eastAsia="en-NZ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877BC2" w:rsidRPr="005E2F1D" w:rsidRDefault="00877BC2" w:rsidP="00167AB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NZ" w:eastAsia="en-NZ"/>
              </w:rPr>
            </w:pPr>
            <w:r w:rsidRPr="005E2F1D">
              <w:rPr>
                <w:rFonts w:ascii="Calibri" w:eastAsia="Times New Roman" w:hAnsi="Calibri" w:cs="Times New Roman"/>
                <w:sz w:val="20"/>
                <w:szCs w:val="20"/>
                <w:lang w:val="en-NZ" w:eastAsia="en-NZ"/>
              </w:rPr>
              <w:t xml:space="preserve">There is potential for further enhancement </w:t>
            </w:r>
            <w:r w:rsidR="00007FF0">
              <w:rPr>
                <w:rFonts w:ascii="Calibri" w:eastAsia="Times New Roman" w:hAnsi="Calibri" w:cs="Times New Roman"/>
                <w:sz w:val="20"/>
                <w:szCs w:val="20"/>
                <w:lang w:val="en-NZ" w:eastAsia="en-NZ"/>
              </w:rPr>
              <w:t>to</w:t>
            </w:r>
            <w:r w:rsidRPr="005E2F1D">
              <w:rPr>
                <w:rFonts w:ascii="Calibri" w:eastAsia="Times New Roman" w:hAnsi="Calibri" w:cs="Times New Roman"/>
                <w:sz w:val="20"/>
                <w:szCs w:val="20"/>
                <w:lang w:val="en-NZ" w:eastAsia="en-NZ"/>
              </w:rPr>
              <w:t xml:space="preserve"> the delivery of information and training on</w:t>
            </w:r>
            <w:r w:rsidR="003D17B9">
              <w:rPr>
                <w:rFonts w:ascii="Calibri" w:eastAsia="Times New Roman" w:hAnsi="Calibri" w:cs="Times New Roman"/>
                <w:sz w:val="20"/>
                <w:szCs w:val="20"/>
                <w:lang w:val="en-NZ" w:eastAsia="en-NZ"/>
              </w:rPr>
              <w:t xml:space="preserve"> </w:t>
            </w:r>
            <w:r w:rsidRPr="005E2F1D">
              <w:rPr>
                <w:rFonts w:ascii="Calibri" w:eastAsia="Times New Roman" w:hAnsi="Calibri" w:cs="Times New Roman"/>
                <w:sz w:val="20"/>
                <w:szCs w:val="20"/>
                <w:lang w:val="en-NZ" w:eastAsia="en-NZ"/>
              </w:rPr>
              <w:t xml:space="preserve">policies and support available at the University that ensure a safe inclusive and equitable environment.  </w:t>
            </w:r>
          </w:p>
          <w:p w:rsidR="00877BC2" w:rsidRPr="005E2F1D" w:rsidRDefault="00877BC2" w:rsidP="00167AB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NZ" w:eastAsia="en-NZ"/>
              </w:rPr>
            </w:pPr>
          </w:p>
          <w:p w:rsidR="00EB7729" w:rsidRPr="00972CA1" w:rsidRDefault="00877BC2" w:rsidP="00167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val="en-NZ" w:eastAsia="en-NZ"/>
              </w:rPr>
            </w:pPr>
            <w:r w:rsidRPr="005E2F1D">
              <w:rPr>
                <w:rFonts w:ascii="Calibri" w:eastAsia="Times New Roman" w:hAnsi="Calibri" w:cs="Times New Roman"/>
                <w:sz w:val="20"/>
                <w:szCs w:val="20"/>
                <w:lang w:val="en-NZ" w:eastAsia="en-NZ"/>
              </w:rPr>
              <w:t xml:space="preserve">This </w:t>
            </w:r>
            <w:r w:rsidR="00007FF0">
              <w:rPr>
                <w:rFonts w:ascii="Calibri" w:eastAsia="Times New Roman" w:hAnsi="Calibri" w:cs="Times New Roman"/>
                <w:sz w:val="20"/>
                <w:szCs w:val="20"/>
                <w:lang w:val="en-NZ" w:eastAsia="en-NZ"/>
              </w:rPr>
              <w:t xml:space="preserve">objective </w:t>
            </w:r>
            <w:r w:rsidRPr="005E2F1D">
              <w:rPr>
                <w:rFonts w:ascii="Calibri" w:eastAsia="Times New Roman" w:hAnsi="Calibri" w:cs="Times New Roman"/>
                <w:sz w:val="20"/>
                <w:szCs w:val="20"/>
                <w:lang w:val="en-NZ" w:eastAsia="en-NZ"/>
              </w:rPr>
              <w:t xml:space="preserve">builds upon the increasing uptake of information disseminated by the </w:t>
            </w:r>
            <w:r w:rsidR="00007FF0">
              <w:rPr>
                <w:rFonts w:ascii="Calibri" w:eastAsia="Times New Roman" w:hAnsi="Calibri" w:cs="Times New Roman"/>
                <w:sz w:val="20"/>
                <w:szCs w:val="20"/>
                <w:lang w:val="en-NZ" w:eastAsia="en-NZ"/>
              </w:rPr>
              <w:t>EO</w:t>
            </w:r>
            <w:r w:rsidR="00394E27">
              <w:rPr>
                <w:rFonts w:ascii="Calibri" w:eastAsia="Times New Roman" w:hAnsi="Calibri" w:cs="Times New Roman"/>
                <w:sz w:val="20"/>
                <w:szCs w:val="20"/>
                <w:lang w:val="en-NZ" w:eastAsia="en-NZ"/>
              </w:rPr>
              <w:t>,</w:t>
            </w:r>
            <w:r w:rsidRPr="005E2F1D">
              <w:rPr>
                <w:rFonts w:ascii="Calibri" w:eastAsia="Times New Roman" w:hAnsi="Calibri" w:cs="Times New Roman"/>
                <w:sz w:val="20"/>
                <w:szCs w:val="20"/>
                <w:lang w:val="en-NZ" w:eastAsia="en-NZ"/>
              </w:rPr>
              <w:t xml:space="preserve"> in particular</w:t>
            </w:r>
            <w:r w:rsidR="00394E27">
              <w:rPr>
                <w:rFonts w:ascii="Calibri" w:eastAsia="Times New Roman" w:hAnsi="Calibri" w:cs="Times New Roman"/>
                <w:sz w:val="20"/>
                <w:szCs w:val="20"/>
                <w:lang w:val="en-NZ" w:eastAsia="en-NZ"/>
              </w:rPr>
              <w:t>,</w:t>
            </w:r>
            <w:r w:rsidRPr="005E2F1D">
              <w:rPr>
                <w:rFonts w:ascii="Calibri" w:eastAsia="Times New Roman" w:hAnsi="Calibri" w:cs="Times New Roman"/>
                <w:sz w:val="20"/>
                <w:szCs w:val="20"/>
                <w:lang w:val="en-NZ" w:eastAsia="en-NZ"/>
              </w:rPr>
              <w:t xml:space="preserve"> via digital platforms.</w:t>
            </w:r>
            <w:r w:rsidR="00007FF0">
              <w:rPr>
                <w:rFonts w:ascii="Calibri" w:eastAsia="Times New Roman" w:hAnsi="Calibri" w:cs="Times New Roman"/>
                <w:sz w:val="20"/>
                <w:szCs w:val="20"/>
                <w:lang w:val="en-NZ" w:eastAsia="en-NZ"/>
              </w:rPr>
              <w:t xml:space="preserve"> It </w:t>
            </w:r>
            <w:r w:rsidRPr="005E2F1D">
              <w:rPr>
                <w:rFonts w:ascii="Calibri" w:eastAsia="Times New Roman" w:hAnsi="Calibri" w:cs="Times New Roman"/>
                <w:sz w:val="20"/>
                <w:szCs w:val="20"/>
                <w:lang w:val="en-NZ" w:eastAsia="en-NZ"/>
              </w:rPr>
              <w:t>responds to requests from staff and students and is a key means of contributing to increasing participation and success for staff and students who are M</w:t>
            </w:r>
            <w:r w:rsidR="00007FF0" w:rsidRPr="00007FF0">
              <w:rPr>
                <w:rFonts w:ascii="Calibri" w:eastAsia="Times New Roman" w:hAnsi="Calibri" w:cs="Times New Roman"/>
                <w:sz w:val="20"/>
                <w:szCs w:val="20"/>
                <w:lang w:val="en-NZ" w:eastAsia="en-NZ"/>
              </w:rPr>
              <w:t>ā</w:t>
            </w:r>
            <w:r w:rsidR="00933F0E">
              <w:rPr>
                <w:rFonts w:ascii="Calibri" w:eastAsia="Times New Roman" w:hAnsi="Calibri" w:cs="Times New Roman"/>
                <w:sz w:val="20"/>
                <w:szCs w:val="20"/>
                <w:lang w:val="en-NZ" w:eastAsia="en-NZ"/>
              </w:rPr>
              <w:t>ori or from equity groups.</w:t>
            </w:r>
          </w:p>
        </w:tc>
        <w:tc>
          <w:tcPr>
            <w:tcW w:w="2126" w:type="dxa"/>
            <w:vMerge/>
            <w:vAlign w:val="center"/>
            <w:hideMark/>
          </w:tcPr>
          <w:p w:rsidR="006D023A" w:rsidRPr="00972CA1" w:rsidRDefault="006D023A" w:rsidP="00877BF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val="en-NZ" w:eastAsia="en-NZ"/>
              </w:rPr>
            </w:pPr>
          </w:p>
        </w:tc>
        <w:tc>
          <w:tcPr>
            <w:tcW w:w="2202" w:type="dxa"/>
            <w:vMerge/>
            <w:vAlign w:val="center"/>
            <w:hideMark/>
          </w:tcPr>
          <w:p w:rsidR="006D023A" w:rsidRPr="00972CA1" w:rsidRDefault="006D023A" w:rsidP="00877BF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val="en-NZ" w:eastAsia="en-NZ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D023A" w:rsidRPr="00972CA1" w:rsidRDefault="006D023A" w:rsidP="00877BF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val="en-NZ" w:eastAsia="en-NZ"/>
              </w:rPr>
            </w:pPr>
          </w:p>
        </w:tc>
        <w:tc>
          <w:tcPr>
            <w:tcW w:w="1228" w:type="dxa"/>
            <w:vMerge/>
            <w:vAlign w:val="center"/>
            <w:hideMark/>
          </w:tcPr>
          <w:p w:rsidR="006D023A" w:rsidRPr="00972CA1" w:rsidRDefault="006D023A" w:rsidP="00877BF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val="en-NZ" w:eastAsia="en-NZ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6D023A" w:rsidRPr="00972CA1" w:rsidRDefault="006D023A" w:rsidP="00877BF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val="en-NZ" w:eastAsia="en-NZ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6D023A" w:rsidRPr="00972CA1" w:rsidRDefault="006D023A" w:rsidP="00877BF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val="en-NZ" w:eastAsia="en-NZ"/>
              </w:rPr>
            </w:pPr>
          </w:p>
        </w:tc>
      </w:tr>
      <w:tr w:rsidR="006D023A" w:rsidRPr="008F67F7" w:rsidTr="00BE2261">
        <w:trPr>
          <w:trHeight w:val="325"/>
        </w:trPr>
        <w:tc>
          <w:tcPr>
            <w:tcW w:w="14770" w:type="dxa"/>
            <w:gridSpan w:val="9"/>
            <w:shd w:val="clear" w:color="000000" w:fill="F2F2F2"/>
            <w:vAlign w:val="center"/>
            <w:hideMark/>
          </w:tcPr>
          <w:p w:rsidR="006D023A" w:rsidRPr="00071BA1" w:rsidRDefault="007850CB" w:rsidP="00877BF9">
            <w:pPr>
              <w:pStyle w:val="Default"/>
              <w:rPr>
                <w:sz w:val="20"/>
                <w:szCs w:val="20"/>
              </w:rPr>
            </w:pPr>
            <w:r w:rsidRPr="00071BA1">
              <w:rPr>
                <w:b/>
                <w:bCs/>
                <w:color w:val="auto"/>
                <w:sz w:val="20"/>
                <w:szCs w:val="20"/>
              </w:rPr>
              <w:lastRenderedPageBreak/>
              <w:t>Contribute to increasing participation of students and staff who are Māori and from Equity groups:  including Pacific students, Students with Disabilities, students from Low Socioeconomic Backgrounds and students from refugee backgrounds</w:t>
            </w:r>
          </w:p>
        </w:tc>
      </w:tr>
      <w:tr w:rsidR="006D023A" w:rsidRPr="00972CA1" w:rsidTr="00BE2261">
        <w:trPr>
          <w:trHeight w:val="480"/>
        </w:trPr>
        <w:tc>
          <w:tcPr>
            <w:tcW w:w="1276" w:type="dxa"/>
            <w:vMerge w:val="restart"/>
            <w:shd w:val="clear" w:color="000000" w:fill="FCD5B4"/>
            <w:hideMark/>
          </w:tcPr>
          <w:p w:rsidR="006D023A" w:rsidRPr="00071BA1" w:rsidRDefault="006D023A" w:rsidP="00BE22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NZ" w:eastAsia="en-NZ"/>
              </w:rPr>
            </w:pPr>
            <w:r w:rsidRPr="00071BA1">
              <w:rPr>
                <w:rFonts w:ascii="Calibri" w:eastAsia="Times New Roman" w:hAnsi="Calibri" w:cs="Times New Roman"/>
                <w:sz w:val="20"/>
                <w:szCs w:val="20"/>
                <w:lang w:val="en-NZ" w:eastAsia="en-NZ"/>
              </w:rPr>
              <w:t>CE08</w:t>
            </w:r>
          </w:p>
          <w:p w:rsidR="006D023A" w:rsidRPr="00071BA1" w:rsidRDefault="006D023A" w:rsidP="00BE22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NZ" w:eastAsia="en-NZ"/>
              </w:rPr>
            </w:pPr>
            <w:r w:rsidRPr="00071BA1">
              <w:rPr>
                <w:rFonts w:ascii="Calibri" w:eastAsia="Times New Roman" w:hAnsi="Calibri" w:cs="Times New Roman"/>
                <w:sz w:val="20"/>
                <w:szCs w:val="20"/>
                <w:lang w:val="en-NZ" w:eastAsia="en-NZ"/>
              </w:rPr>
              <w:t>CE11</w:t>
            </w:r>
          </w:p>
          <w:p w:rsidR="006D023A" w:rsidRPr="00071BA1" w:rsidRDefault="006D023A" w:rsidP="00BE22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NZ" w:eastAsia="en-NZ"/>
              </w:rPr>
            </w:pPr>
            <w:r w:rsidRPr="00071BA1">
              <w:rPr>
                <w:rFonts w:ascii="Calibri" w:eastAsia="Times New Roman" w:hAnsi="Calibri" w:cs="Times New Roman"/>
                <w:sz w:val="20"/>
                <w:szCs w:val="20"/>
                <w:lang w:val="en-NZ" w:eastAsia="en-NZ"/>
              </w:rPr>
              <w:t>CE18</w:t>
            </w:r>
          </w:p>
          <w:p w:rsidR="006D023A" w:rsidRPr="00071BA1" w:rsidRDefault="006D023A" w:rsidP="00BE22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NZ" w:eastAsia="en-NZ"/>
              </w:rPr>
            </w:pPr>
            <w:r w:rsidRPr="00071BA1">
              <w:rPr>
                <w:rFonts w:ascii="Calibri" w:eastAsia="Times New Roman" w:hAnsi="Calibri" w:cs="Times New Roman"/>
                <w:sz w:val="20"/>
                <w:szCs w:val="20"/>
                <w:lang w:val="en-NZ" w:eastAsia="en-NZ"/>
              </w:rPr>
              <w:t>F105</w:t>
            </w:r>
          </w:p>
          <w:p w:rsidR="006D023A" w:rsidRPr="00071BA1" w:rsidRDefault="006D023A" w:rsidP="00BE22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NZ" w:eastAsia="en-NZ"/>
              </w:rPr>
            </w:pPr>
            <w:r w:rsidRPr="00071BA1">
              <w:rPr>
                <w:rFonts w:ascii="Calibri" w:eastAsia="Times New Roman" w:hAnsi="Calibri" w:cs="Times New Roman"/>
                <w:sz w:val="20"/>
                <w:szCs w:val="20"/>
                <w:lang w:val="en-NZ" w:eastAsia="en-NZ"/>
              </w:rPr>
              <w:t>F108</w:t>
            </w:r>
          </w:p>
          <w:p w:rsidR="006D023A" w:rsidRPr="00071BA1" w:rsidRDefault="006D023A" w:rsidP="00BE22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NZ" w:eastAsia="en-NZ"/>
              </w:rPr>
            </w:pPr>
            <w:r w:rsidRPr="00071BA1">
              <w:rPr>
                <w:rFonts w:ascii="Calibri" w:eastAsia="Times New Roman" w:hAnsi="Calibri" w:cs="Times New Roman"/>
                <w:sz w:val="20"/>
                <w:szCs w:val="20"/>
                <w:lang w:val="en-NZ" w:eastAsia="en-NZ"/>
              </w:rPr>
              <w:t>GA03</w:t>
            </w:r>
          </w:p>
          <w:p w:rsidR="006D023A" w:rsidRPr="00071BA1" w:rsidRDefault="006D023A" w:rsidP="00BE22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NZ" w:eastAsia="en-NZ"/>
              </w:rPr>
            </w:pPr>
            <w:r w:rsidRPr="00071BA1">
              <w:rPr>
                <w:rFonts w:ascii="Calibri" w:eastAsia="Times New Roman" w:hAnsi="Calibri" w:cs="Times New Roman"/>
                <w:sz w:val="20"/>
                <w:szCs w:val="20"/>
                <w:lang w:val="en-NZ" w:eastAsia="en-NZ"/>
              </w:rPr>
              <w:t>GA05</w:t>
            </w:r>
          </w:p>
          <w:p w:rsidR="006D023A" w:rsidRPr="00071BA1" w:rsidRDefault="006D023A" w:rsidP="00BE22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NZ" w:eastAsia="en-NZ"/>
              </w:rPr>
            </w:pPr>
            <w:r w:rsidRPr="00071BA1">
              <w:rPr>
                <w:rFonts w:ascii="Calibri" w:eastAsia="Times New Roman" w:hAnsi="Calibri" w:cs="Times New Roman"/>
                <w:sz w:val="20"/>
                <w:szCs w:val="20"/>
                <w:lang w:val="en-NZ" w:eastAsia="en-NZ"/>
              </w:rPr>
              <w:t>GA07</w:t>
            </w:r>
          </w:p>
          <w:p w:rsidR="006D023A" w:rsidRPr="00071BA1" w:rsidRDefault="006D023A" w:rsidP="00BE22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NZ" w:eastAsia="en-NZ"/>
              </w:rPr>
            </w:pPr>
            <w:r w:rsidRPr="00071BA1">
              <w:rPr>
                <w:rFonts w:ascii="Calibri" w:eastAsia="Times New Roman" w:hAnsi="Calibri" w:cs="Times New Roman"/>
                <w:sz w:val="20"/>
                <w:szCs w:val="20"/>
                <w:lang w:val="en-NZ" w:eastAsia="en-NZ"/>
              </w:rPr>
              <w:t>G002</w:t>
            </w:r>
          </w:p>
          <w:p w:rsidR="006D023A" w:rsidRPr="00071BA1" w:rsidRDefault="006D023A" w:rsidP="00BE22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NZ" w:eastAsia="en-NZ"/>
              </w:rPr>
            </w:pPr>
            <w:r w:rsidRPr="00071BA1">
              <w:rPr>
                <w:rFonts w:ascii="Calibri" w:eastAsia="Times New Roman" w:hAnsi="Calibri" w:cs="Times New Roman"/>
                <w:sz w:val="20"/>
                <w:szCs w:val="20"/>
                <w:lang w:val="en-NZ" w:eastAsia="en-NZ"/>
              </w:rPr>
              <w:t>GO05</w:t>
            </w:r>
          </w:p>
          <w:p w:rsidR="006D023A" w:rsidRPr="00071BA1" w:rsidRDefault="006D023A" w:rsidP="00BE22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NZ" w:eastAsia="en-NZ"/>
              </w:rPr>
            </w:pPr>
            <w:r w:rsidRPr="00071BA1">
              <w:rPr>
                <w:rFonts w:ascii="Calibri" w:eastAsia="Times New Roman" w:hAnsi="Calibri" w:cs="Times New Roman"/>
                <w:sz w:val="20"/>
                <w:szCs w:val="20"/>
                <w:lang w:val="en-NZ" w:eastAsia="en-NZ"/>
              </w:rPr>
              <w:t>GO09</w:t>
            </w:r>
          </w:p>
          <w:p w:rsidR="006D023A" w:rsidRPr="00071BA1" w:rsidRDefault="006D023A" w:rsidP="00BE22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NZ" w:eastAsia="en-NZ"/>
              </w:rPr>
            </w:pPr>
            <w:r w:rsidRPr="00071BA1">
              <w:rPr>
                <w:rFonts w:ascii="Calibri" w:eastAsia="Times New Roman" w:hAnsi="Calibri" w:cs="Times New Roman"/>
                <w:sz w:val="20"/>
                <w:szCs w:val="20"/>
                <w:lang w:val="en-NZ" w:eastAsia="en-NZ"/>
              </w:rPr>
              <w:t>GO12</w:t>
            </w:r>
          </w:p>
          <w:p w:rsidR="006D023A" w:rsidRPr="00071BA1" w:rsidRDefault="006D023A" w:rsidP="00BE22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NZ" w:eastAsia="en-NZ"/>
              </w:rPr>
            </w:pPr>
            <w:r w:rsidRPr="00071BA1">
              <w:rPr>
                <w:rFonts w:ascii="Calibri" w:eastAsia="Times New Roman" w:hAnsi="Calibri" w:cs="Times New Roman"/>
                <w:sz w:val="20"/>
                <w:szCs w:val="20"/>
                <w:lang w:val="en-NZ" w:eastAsia="en-NZ"/>
              </w:rPr>
              <w:t>GO13</w:t>
            </w:r>
          </w:p>
          <w:p w:rsidR="006D023A" w:rsidRPr="00071BA1" w:rsidRDefault="006D023A" w:rsidP="00BE22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NZ" w:eastAsia="en-NZ"/>
              </w:rPr>
            </w:pPr>
            <w:r w:rsidRPr="00071BA1">
              <w:rPr>
                <w:rFonts w:ascii="Calibri" w:eastAsia="Times New Roman" w:hAnsi="Calibri" w:cs="Times New Roman"/>
                <w:sz w:val="20"/>
                <w:szCs w:val="20"/>
                <w:lang w:val="en-NZ" w:eastAsia="en-NZ"/>
              </w:rPr>
              <w:t>SS05</w:t>
            </w:r>
          </w:p>
          <w:p w:rsidR="006D023A" w:rsidRPr="00071BA1" w:rsidRDefault="006D023A" w:rsidP="00BE22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NZ" w:eastAsia="en-NZ"/>
              </w:rPr>
            </w:pPr>
            <w:r w:rsidRPr="00071BA1">
              <w:rPr>
                <w:rFonts w:ascii="Calibri" w:eastAsia="Times New Roman" w:hAnsi="Calibri" w:cs="Times New Roman"/>
                <w:sz w:val="20"/>
                <w:szCs w:val="20"/>
                <w:lang w:val="en-NZ" w:eastAsia="en-NZ"/>
              </w:rPr>
              <w:t>SS10</w:t>
            </w:r>
          </w:p>
          <w:p w:rsidR="006D023A" w:rsidRPr="00071BA1" w:rsidRDefault="006D023A" w:rsidP="00BE22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NZ" w:eastAsia="en-NZ"/>
              </w:rPr>
            </w:pPr>
            <w:r w:rsidRPr="00071BA1">
              <w:rPr>
                <w:rFonts w:ascii="Calibri" w:eastAsia="Times New Roman" w:hAnsi="Calibri" w:cs="Times New Roman"/>
                <w:sz w:val="20"/>
                <w:szCs w:val="20"/>
                <w:lang w:val="en-NZ" w:eastAsia="en-NZ"/>
              </w:rPr>
              <w:t>SS15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6D023A" w:rsidRDefault="006D023A" w:rsidP="0009787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NZ" w:eastAsia="en-NZ"/>
              </w:rPr>
            </w:pPr>
            <w:r w:rsidRPr="00EB7729">
              <w:rPr>
                <w:rFonts w:ascii="Calibri" w:eastAsia="Times New Roman" w:hAnsi="Calibri" w:cs="Times New Roman"/>
                <w:sz w:val="20"/>
                <w:szCs w:val="20"/>
                <w:lang w:val="en-NZ" w:eastAsia="en-NZ"/>
              </w:rPr>
              <w:t>Student Equity</w:t>
            </w:r>
          </w:p>
          <w:p w:rsidR="004A3BD5" w:rsidRPr="00EB7729" w:rsidRDefault="004A3BD5" w:rsidP="0009787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NZ" w:eastAsia="en-N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en-NZ" w:eastAsia="en-NZ"/>
              </w:rPr>
              <w:t>Staff Equity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D023A" w:rsidRPr="00EB7729" w:rsidRDefault="006D023A" w:rsidP="00877B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NZ" w:eastAsia="en-NZ"/>
              </w:rPr>
            </w:pPr>
            <w:r w:rsidRPr="00EB7729">
              <w:rPr>
                <w:rFonts w:ascii="Calibri" w:eastAsia="Times New Roman" w:hAnsi="Calibri" w:cs="Times New Roman"/>
                <w:b/>
                <w:bCs/>
                <w:color w:val="4F81BD"/>
                <w:sz w:val="20"/>
                <w:szCs w:val="20"/>
                <w:lang w:val="en-NZ" w:eastAsia="en-NZ"/>
              </w:rPr>
              <w:t>Current performance rating</w:t>
            </w:r>
            <w:r w:rsidRPr="00EB772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NZ" w:eastAsia="en-NZ"/>
              </w:rPr>
              <w:t xml:space="preserve">:  3    </w:t>
            </w:r>
            <w:r w:rsidRPr="00EB7729">
              <w:rPr>
                <w:rFonts w:ascii="Calibri" w:eastAsia="Times New Roman" w:hAnsi="Calibri" w:cs="Times New Roman"/>
                <w:b/>
                <w:bCs/>
                <w:color w:val="4F81BD"/>
                <w:sz w:val="20"/>
                <w:szCs w:val="20"/>
                <w:lang w:val="en-NZ" w:eastAsia="en-NZ"/>
              </w:rPr>
              <w:t>Future performance rating</w:t>
            </w:r>
            <w:r w:rsidRPr="00EB772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NZ" w:eastAsia="en-NZ"/>
              </w:rPr>
              <w:t>:  5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EB7729" w:rsidRDefault="00747170" w:rsidP="00BE22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NZ" w:eastAsia="en-N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en-NZ" w:eastAsia="en-NZ"/>
              </w:rPr>
              <w:t>Expand the EO’s contribution</w:t>
            </w:r>
            <w:r w:rsidR="00121A0B" w:rsidRPr="00071BA1">
              <w:rPr>
                <w:rFonts w:ascii="Calibri" w:eastAsia="Times New Roman" w:hAnsi="Calibri" w:cs="Times New Roman"/>
                <w:sz w:val="20"/>
                <w:szCs w:val="20"/>
                <w:lang w:val="en-NZ" w:eastAsia="en-NZ"/>
              </w:rPr>
              <w:t xml:space="preserve"> to increased participation of students and staff who are M</w:t>
            </w:r>
            <w:r w:rsidR="00007FF0" w:rsidRPr="00007FF0">
              <w:rPr>
                <w:rFonts w:ascii="Calibri" w:eastAsia="Times New Roman" w:hAnsi="Calibri" w:cs="Times New Roman"/>
                <w:sz w:val="20"/>
                <w:szCs w:val="20"/>
                <w:lang w:val="en-NZ" w:eastAsia="en-NZ"/>
              </w:rPr>
              <w:t>ā</w:t>
            </w:r>
            <w:r w:rsidR="00121A0B" w:rsidRPr="00071BA1">
              <w:rPr>
                <w:rFonts w:ascii="Calibri" w:eastAsia="Times New Roman" w:hAnsi="Calibri" w:cs="Times New Roman"/>
                <w:sz w:val="20"/>
                <w:szCs w:val="20"/>
                <w:lang w:val="en-NZ" w:eastAsia="en-NZ"/>
              </w:rPr>
              <w:t>ori and from equity groups through enhancements to outreach events and tools that guide progression in STEMM.</w:t>
            </w:r>
          </w:p>
          <w:p w:rsidR="00EB7729" w:rsidRDefault="00EB7729" w:rsidP="00BE22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NZ" w:eastAsia="en-NZ"/>
              </w:rPr>
            </w:pPr>
          </w:p>
          <w:p w:rsidR="006E2C93" w:rsidRDefault="006E2C93" w:rsidP="00BE22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NZ" w:eastAsia="en-NZ"/>
              </w:rPr>
            </w:pPr>
          </w:p>
          <w:p w:rsidR="006E2C93" w:rsidRDefault="006E2C93" w:rsidP="00BE22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NZ" w:eastAsia="en-NZ"/>
              </w:rPr>
            </w:pPr>
          </w:p>
          <w:p w:rsidR="006E2C93" w:rsidRDefault="006E2C93" w:rsidP="00BE22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NZ" w:eastAsia="en-NZ"/>
              </w:rPr>
            </w:pPr>
          </w:p>
          <w:p w:rsidR="006E2C93" w:rsidRPr="00071BA1" w:rsidRDefault="006E2C93" w:rsidP="00BE22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NZ" w:eastAsia="en-NZ"/>
              </w:rPr>
            </w:pPr>
          </w:p>
          <w:p w:rsidR="004A6CEE" w:rsidRPr="00071BA1" w:rsidRDefault="004A6CEE" w:rsidP="00BE22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NZ" w:eastAsia="en-NZ"/>
              </w:rPr>
            </w:pPr>
          </w:p>
          <w:p w:rsidR="004A6CEE" w:rsidRPr="00071BA1" w:rsidRDefault="004A6CEE" w:rsidP="00BE22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NZ" w:eastAsia="en-NZ"/>
              </w:rPr>
            </w:pPr>
          </w:p>
          <w:p w:rsidR="004A6CEE" w:rsidRPr="00071BA1" w:rsidRDefault="004A6CEE" w:rsidP="00BE22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NZ" w:eastAsia="en-NZ"/>
              </w:rPr>
            </w:pPr>
          </w:p>
          <w:p w:rsidR="004A6CEE" w:rsidRPr="00071BA1" w:rsidRDefault="004A6CEE" w:rsidP="00BE22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NZ" w:eastAsia="en-NZ"/>
              </w:rPr>
            </w:pPr>
          </w:p>
          <w:p w:rsidR="004A6CEE" w:rsidRPr="00071BA1" w:rsidRDefault="004A6CEE" w:rsidP="00BE22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NZ" w:eastAsia="en-NZ"/>
              </w:rPr>
            </w:pPr>
          </w:p>
        </w:tc>
        <w:tc>
          <w:tcPr>
            <w:tcW w:w="2202" w:type="dxa"/>
            <w:vMerge w:val="restart"/>
            <w:shd w:val="clear" w:color="auto" w:fill="auto"/>
            <w:hideMark/>
          </w:tcPr>
          <w:p w:rsidR="00272DF9" w:rsidRDefault="009F6405" w:rsidP="00BE226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18" w:hanging="317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71BA1">
              <w:rPr>
                <w:rFonts w:ascii="Calibri" w:eastAsia="Times New Roman" w:hAnsi="Calibri" w:cs="Times New Roman"/>
                <w:sz w:val="20"/>
                <w:szCs w:val="20"/>
              </w:rPr>
              <w:t xml:space="preserve">Increase the % of Māori and Pacific students attending </w:t>
            </w:r>
            <w:r w:rsidR="00747170">
              <w:rPr>
                <w:rFonts w:ascii="Calibri" w:eastAsia="Times New Roman" w:hAnsi="Calibri" w:cs="Times New Roman"/>
                <w:sz w:val="20"/>
                <w:szCs w:val="20"/>
              </w:rPr>
              <w:t>EO</w:t>
            </w:r>
            <w:r w:rsidRPr="00071BA1">
              <w:rPr>
                <w:rFonts w:ascii="Calibri" w:eastAsia="Times New Roman" w:hAnsi="Calibri" w:cs="Times New Roman"/>
                <w:sz w:val="20"/>
                <w:szCs w:val="20"/>
              </w:rPr>
              <w:t xml:space="preserve"> outreach events who indicate they will apply to study at the </w:t>
            </w:r>
            <w:r w:rsidR="00795981">
              <w:rPr>
                <w:rFonts w:ascii="Calibri" w:eastAsia="Times New Roman" w:hAnsi="Calibri" w:cs="Times New Roman"/>
                <w:sz w:val="20"/>
                <w:szCs w:val="20"/>
              </w:rPr>
              <w:t>University</w:t>
            </w:r>
            <w:r w:rsidRPr="00071BA1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</w:p>
          <w:p w:rsidR="00DE6E02" w:rsidRPr="00071BA1" w:rsidRDefault="001E7090" w:rsidP="00097877">
            <w:pPr>
              <w:pStyle w:val="ListParagraph"/>
              <w:numPr>
                <w:ilvl w:val="0"/>
                <w:numId w:val="12"/>
              </w:numPr>
              <w:spacing w:after="60" w:line="240" w:lineRule="auto"/>
              <w:ind w:left="317" w:hanging="317"/>
              <w:rPr>
                <w:rFonts w:ascii="Calibri" w:hAnsi="Calibri" w:cs="Times New Roman"/>
                <w:sz w:val="20"/>
                <w:szCs w:val="20"/>
              </w:rPr>
            </w:pPr>
            <w:r w:rsidRPr="00097877">
              <w:rPr>
                <w:rFonts w:cs="Times New Roman"/>
                <w:sz w:val="20"/>
                <w:szCs w:val="20"/>
              </w:rPr>
              <w:t xml:space="preserve">Develop, launch and promote materials to support the promotion of STEMM pathways for </w:t>
            </w:r>
            <w:r w:rsidR="00747170" w:rsidRPr="00097877">
              <w:rPr>
                <w:rFonts w:ascii="Calibri" w:eastAsia="Times New Roman" w:hAnsi="Calibri" w:cs="Times New Roman"/>
                <w:sz w:val="20"/>
                <w:szCs w:val="20"/>
              </w:rPr>
              <w:t>Māori</w:t>
            </w:r>
            <w:r w:rsidRPr="00097877">
              <w:rPr>
                <w:rFonts w:cs="Times New Roman"/>
                <w:sz w:val="20"/>
                <w:szCs w:val="20"/>
              </w:rPr>
              <w:t>, Pacific and women.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6D023A" w:rsidRPr="005E2F1D" w:rsidRDefault="005E2F1D" w:rsidP="00BE2261">
            <w:pPr>
              <w:tabs>
                <w:tab w:val="left" w:pos="26"/>
              </w:tabs>
              <w:spacing w:after="0" w:line="240" w:lineRule="auto"/>
              <w:rPr>
                <w:sz w:val="20"/>
                <w:szCs w:val="20"/>
              </w:rPr>
            </w:pPr>
            <w:r w:rsidRPr="005E2F1D">
              <w:rPr>
                <w:sz w:val="20"/>
                <w:szCs w:val="20"/>
              </w:rPr>
              <w:t>1.</w:t>
            </w:r>
            <w:r w:rsidR="00031B16">
              <w:rPr>
                <w:sz w:val="20"/>
                <w:szCs w:val="20"/>
              </w:rPr>
              <w:t>67</w:t>
            </w:r>
            <w:r w:rsidR="006D023A" w:rsidRPr="005E2F1D">
              <w:rPr>
                <w:sz w:val="20"/>
                <w:szCs w:val="20"/>
              </w:rPr>
              <w:t>%</w:t>
            </w:r>
          </w:p>
          <w:p w:rsidR="00DE6E02" w:rsidRDefault="005E2F1D" w:rsidP="00097877">
            <w:pPr>
              <w:tabs>
                <w:tab w:val="left" w:pos="2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272DF9">
              <w:rPr>
                <w:sz w:val="20"/>
                <w:szCs w:val="20"/>
              </w:rPr>
              <w:t>N/A</w:t>
            </w:r>
          </w:p>
          <w:p w:rsidR="00DE6E02" w:rsidRDefault="00DE6E02" w:rsidP="00BE2261">
            <w:pPr>
              <w:spacing w:after="60" w:line="240" w:lineRule="auto"/>
              <w:rPr>
                <w:sz w:val="20"/>
                <w:szCs w:val="20"/>
              </w:rPr>
            </w:pPr>
          </w:p>
          <w:p w:rsidR="00DE6E02" w:rsidRDefault="00DE6E02" w:rsidP="00BE2261">
            <w:pPr>
              <w:spacing w:after="60" w:line="240" w:lineRule="auto"/>
              <w:rPr>
                <w:sz w:val="20"/>
                <w:szCs w:val="20"/>
              </w:rPr>
            </w:pPr>
          </w:p>
          <w:p w:rsidR="00DE6E02" w:rsidRDefault="00DE6E02" w:rsidP="00BE2261">
            <w:pPr>
              <w:spacing w:after="60" w:line="240" w:lineRule="auto"/>
              <w:rPr>
                <w:sz w:val="20"/>
                <w:szCs w:val="20"/>
              </w:rPr>
            </w:pPr>
          </w:p>
          <w:p w:rsidR="00DE6E02" w:rsidRDefault="00DE6E02" w:rsidP="00BE2261">
            <w:pPr>
              <w:spacing w:after="60" w:line="240" w:lineRule="auto"/>
              <w:rPr>
                <w:sz w:val="20"/>
                <w:szCs w:val="20"/>
              </w:rPr>
            </w:pPr>
          </w:p>
          <w:p w:rsidR="00DE6E02" w:rsidRDefault="00DE6E02" w:rsidP="00BE2261">
            <w:pPr>
              <w:spacing w:after="60" w:line="240" w:lineRule="auto"/>
              <w:rPr>
                <w:sz w:val="20"/>
                <w:szCs w:val="20"/>
              </w:rPr>
            </w:pPr>
          </w:p>
          <w:p w:rsidR="00DE6E02" w:rsidRDefault="00DE6E02" w:rsidP="00BE2261">
            <w:pPr>
              <w:spacing w:after="60" w:line="240" w:lineRule="auto"/>
              <w:rPr>
                <w:sz w:val="20"/>
                <w:szCs w:val="20"/>
              </w:rPr>
            </w:pPr>
          </w:p>
          <w:p w:rsidR="00DE6E02" w:rsidRDefault="00DE6E02" w:rsidP="00BE2261">
            <w:pPr>
              <w:spacing w:after="60" w:line="240" w:lineRule="auto"/>
              <w:rPr>
                <w:sz w:val="20"/>
                <w:szCs w:val="20"/>
              </w:rPr>
            </w:pPr>
          </w:p>
          <w:p w:rsidR="00DE6E02" w:rsidRDefault="00DE6E02" w:rsidP="00BE2261">
            <w:pPr>
              <w:spacing w:after="60" w:line="240" w:lineRule="auto"/>
              <w:rPr>
                <w:sz w:val="20"/>
                <w:szCs w:val="20"/>
              </w:rPr>
            </w:pPr>
          </w:p>
          <w:p w:rsidR="00DE6E02" w:rsidRDefault="00DE6E02" w:rsidP="00BE2261">
            <w:pPr>
              <w:spacing w:after="60" w:line="240" w:lineRule="auto"/>
              <w:rPr>
                <w:sz w:val="20"/>
                <w:szCs w:val="20"/>
              </w:rPr>
            </w:pPr>
          </w:p>
          <w:p w:rsidR="00DE6E02" w:rsidRPr="00071BA1" w:rsidRDefault="00DE6E02" w:rsidP="00BE2261">
            <w:pPr>
              <w:spacing w:after="60" w:line="240" w:lineRule="auto"/>
              <w:rPr>
                <w:sz w:val="20"/>
                <w:szCs w:val="20"/>
              </w:rPr>
            </w:pPr>
          </w:p>
          <w:p w:rsidR="006D023A" w:rsidRPr="00071BA1" w:rsidRDefault="006D023A" w:rsidP="00BE2261">
            <w:pPr>
              <w:spacing w:after="60" w:line="240" w:lineRule="auto"/>
              <w:rPr>
                <w:sz w:val="20"/>
                <w:szCs w:val="20"/>
              </w:rPr>
            </w:pPr>
          </w:p>
          <w:p w:rsidR="006D023A" w:rsidRPr="00071BA1" w:rsidRDefault="006D023A" w:rsidP="00BE2261">
            <w:pPr>
              <w:spacing w:after="60" w:line="240" w:lineRule="auto"/>
              <w:rPr>
                <w:sz w:val="20"/>
                <w:szCs w:val="20"/>
              </w:rPr>
            </w:pPr>
          </w:p>
          <w:p w:rsidR="006D023A" w:rsidRDefault="006D023A" w:rsidP="00BE2261">
            <w:pPr>
              <w:rPr>
                <w:sz w:val="20"/>
                <w:szCs w:val="20"/>
              </w:rPr>
            </w:pPr>
          </w:p>
          <w:p w:rsidR="001E7090" w:rsidRPr="00071BA1" w:rsidRDefault="001E7090" w:rsidP="00BE2261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vMerge w:val="restart"/>
            <w:shd w:val="clear" w:color="auto" w:fill="auto"/>
          </w:tcPr>
          <w:p w:rsidR="005F5BF1" w:rsidRPr="002205C6" w:rsidRDefault="006D023A" w:rsidP="00BE2261">
            <w:pPr>
              <w:pStyle w:val="ListParagraph"/>
              <w:spacing w:after="60" w:line="240" w:lineRule="auto"/>
              <w:ind w:left="142"/>
              <w:rPr>
                <w:rFonts w:eastAsia="Times New Roman"/>
                <w:sz w:val="20"/>
                <w:szCs w:val="20"/>
              </w:rPr>
            </w:pPr>
            <w:r w:rsidRPr="00071BA1">
              <w:rPr>
                <w:sz w:val="20"/>
                <w:szCs w:val="20"/>
              </w:rPr>
              <w:t>1.</w:t>
            </w:r>
            <w:r w:rsidR="00C11F1C">
              <w:rPr>
                <w:sz w:val="20"/>
                <w:szCs w:val="20"/>
              </w:rPr>
              <w:t xml:space="preserve"> </w:t>
            </w:r>
            <w:r w:rsidR="005F5BF1" w:rsidRPr="002205C6">
              <w:rPr>
                <w:rFonts w:eastAsia="Times New Roman"/>
                <w:sz w:val="18"/>
                <w:szCs w:val="18"/>
              </w:rPr>
              <w:t xml:space="preserve">Achieved </w:t>
            </w:r>
            <w:r w:rsidR="00C11F1C" w:rsidRPr="002205C6">
              <w:rPr>
                <w:rFonts w:eastAsia="Times New Roman"/>
                <w:sz w:val="18"/>
                <w:szCs w:val="18"/>
              </w:rPr>
              <w:t>(</w:t>
            </w:r>
            <w:r w:rsidR="005F5BF1" w:rsidRPr="002205C6">
              <w:rPr>
                <w:rFonts w:eastAsia="Times New Roman"/>
                <w:sz w:val="20"/>
                <w:szCs w:val="20"/>
              </w:rPr>
              <w:t>84%)</w:t>
            </w:r>
          </w:p>
          <w:p w:rsidR="00DE6E02" w:rsidRDefault="006D023A" w:rsidP="00097877">
            <w:pPr>
              <w:spacing w:after="60" w:line="240" w:lineRule="auto"/>
              <w:rPr>
                <w:sz w:val="20"/>
                <w:szCs w:val="20"/>
              </w:rPr>
            </w:pPr>
            <w:r w:rsidRPr="00071BA1">
              <w:rPr>
                <w:sz w:val="20"/>
                <w:szCs w:val="20"/>
              </w:rPr>
              <w:t>2</w:t>
            </w:r>
            <w:r w:rsidR="005E2F1D">
              <w:rPr>
                <w:sz w:val="20"/>
                <w:szCs w:val="20"/>
              </w:rPr>
              <w:t>.</w:t>
            </w:r>
            <w:r w:rsidR="001E7090">
              <w:rPr>
                <w:sz w:val="20"/>
                <w:szCs w:val="20"/>
              </w:rPr>
              <w:t xml:space="preserve"> </w:t>
            </w:r>
            <w:r w:rsidR="00272DF9">
              <w:rPr>
                <w:sz w:val="20"/>
                <w:szCs w:val="20"/>
              </w:rPr>
              <w:t>Achieved</w:t>
            </w:r>
          </w:p>
          <w:p w:rsidR="00DE6E02" w:rsidRDefault="00DE6E02" w:rsidP="00BE2261">
            <w:pPr>
              <w:rPr>
                <w:sz w:val="20"/>
                <w:szCs w:val="20"/>
              </w:rPr>
            </w:pPr>
          </w:p>
          <w:p w:rsidR="00DE6E02" w:rsidRDefault="00DE6E02" w:rsidP="00BE2261">
            <w:pPr>
              <w:rPr>
                <w:sz w:val="20"/>
                <w:szCs w:val="20"/>
              </w:rPr>
            </w:pPr>
          </w:p>
          <w:p w:rsidR="00DE6E02" w:rsidRDefault="00DE6E02" w:rsidP="00BE2261">
            <w:pPr>
              <w:rPr>
                <w:sz w:val="20"/>
                <w:szCs w:val="20"/>
              </w:rPr>
            </w:pPr>
          </w:p>
          <w:p w:rsidR="00DE6E02" w:rsidRDefault="00DE6E02" w:rsidP="00BE2261">
            <w:pPr>
              <w:rPr>
                <w:sz w:val="20"/>
                <w:szCs w:val="20"/>
              </w:rPr>
            </w:pPr>
          </w:p>
          <w:p w:rsidR="00DE6E02" w:rsidRDefault="00DE6E02" w:rsidP="00BE2261">
            <w:pPr>
              <w:rPr>
                <w:sz w:val="20"/>
                <w:szCs w:val="20"/>
              </w:rPr>
            </w:pPr>
          </w:p>
          <w:p w:rsidR="00DE6E02" w:rsidRDefault="00DE6E02" w:rsidP="00BE2261">
            <w:pPr>
              <w:rPr>
                <w:sz w:val="20"/>
                <w:szCs w:val="20"/>
              </w:rPr>
            </w:pPr>
          </w:p>
          <w:p w:rsidR="00DE6E02" w:rsidRDefault="00DE6E02" w:rsidP="00BE2261">
            <w:pPr>
              <w:rPr>
                <w:sz w:val="20"/>
                <w:szCs w:val="20"/>
              </w:rPr>
            </w:pPr>
          </w:p>
          <w:p w:rsidR="006D023A" w:rsidRPr="00071BA1" w:rsidRDefault="006D023A" w:rsidP="00BE226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6D023A" w:rsidRPr="00071BA1" w:rsidRDefault="006D023A" w:rsidP="00BE2261">
            <w:pPr>
              <w:spacing w:after="0"/>
              <w:rPr>
                <w:sz w:val="20"/>
                <w:szCs w:val="20"/>
              </w:rPr>
            </w:pPr>
            <w:r w:rsidRPr="00071BA1">
              <w:rPr>
                <w:sz w:val="20"/>
                <w:szCs w:val="20"/>
              </w:rPr>
              <w:t xml:space="preserve">1. </w:t>
            </w:r>
            <w:r w:rsidR="00031B16">
              <w:rPr>
                <w:sz w:val="20"/>
                <w:szCs w:val="20"/>
              </w:rPr>
              <w:t>72</w:t>
            </w:r>
            <w:r w:rsidRPr="00071BA1">
              <w:rPr>
                <w:sz w:val="20"/>
                <w:szCs w:val="20"/>
              </w:rPr>
              <w:t>%</w:t>
            </w:r>
          </w:p>
          <w:p w:rsidR="00DE6E02" w:rsidRDefault="00BE2261" w:rsidP="00097877">
            <w:pPr>
              <w:spacing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2.A</w:t>
            </w:r>
            <w:r w:rsidR="00272DF9">
              <w:rPr>
                <w:sz w:val="20"/>
                <w:szCs w:val="20"/>
              </w:rPr>
              <w:t>chieved</w:t>
            </w:r>
          </w:p>
          <w:p w:rsidR="00EB7729" w:rsidRDefault="00EB7729" w:rsidP="00BE2261">
            <w:pPr>
              <w:rPr>
                <w:sz w:val="20"/>
                <w:szCs w:val="20"/>
              </w:rPr>
            </w:pPr>
          </w:p>
          <w:p w:rsidR="00EB7729" w:rsidRDefault="00EB7729" w:rsidP="00BE2261">
            <w:pPr>
              <w:rPr>
                <w:sz w:val="20"/>
                <w:szCs w:val="20"/>
              </w:rPr>
            </w:pPr>
          </w:p>
          <w:p w:rsidR="00DE6E02" w:rsidRDefault="00DE6E02" w:rsidP="00BE2261">
            <w:pPr>
              <w:rPr>
                <w:sz w:val="20"/>
                <w:szCs w:val="20"/>
              </w:rPr>
            </w:pPr>
          </w:p>
          <w:p w:rsidR="00DE6E02" w:rsidRDefault="00DE6E02" w:rsidP="00BE2261">
            <w:pPr>
              <w:rPr>
                <w:sz w:val="20"/>
                <w:szCs w:val="20"/>
              </w:rPr>
            </w:pPr>
          </w:p>
          <w:p w:rsidR="00DE6E02" w:rsidRDefault="00DE6E02" w:rsidP="00BE2261">
            <w:pPr>
              <w:rPr>
                <w:sz w:val="20"/>
                <w:szCs w:val="20"/>
              </w:rPr>
            </w:pPr>
          </w:p>
          <w:p w:rsidR="00DE6E02" w:rsidRDefault="00DE6E02" w:rsidP="00BE2261">
            <w:pPr>
              <w:rPr>
                <w:sz w:val="20"/>
                <w:szCs w:val="20"/>
              </w:rPr>
            </w:pPr>
          </w:p>
          <w:p w:rsidR="00DE6E02" w:rsidRDefault="00DE6E02" w:rsidP="00BE2261">
            <w:pPr>
              <w:rPr>
                <w:sz w:val="20"/>
                <w:szCs w:val="20"/>
              </w:rPr>
            </w:pPr>
          </w:p>
          <w:p w:rsidR="00DE6E02" w:rsidRDefault="00DE6E02" w:rsidP="00BE2261">
            <w:pPr>
              <w:rPr>
                <w:sz w:val="20"/>
                <w:szCs w:val="20"/>
              </w:rPr>
            </w:pPr>
          </w:p>
          <w:p w:rsidR="003E2FBF" w:rsidRPr="00071BA1" w:rsidRDefault="003E2FBF" w:rsidP="00BE226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6D023A" w:rsidRPr="00071BA1" w:rsidRDefault="006D023A" w:rsidP="00BE2261">
            <w:pPr>
              <w:spacing w:after="0"/>
              <w:rPr>
                <w:sz w:val="20"/>
                <w:szCs w:val="20"/>
              </w:rPr>
            </w:pPr>
            <w:r w:rsidRPr="00071BA1">
              <w:rPr>
                <w:sz w:val="20"/>
                <w:szCs w:val="20"/>
              </w:rPr>
              <w:t xml:space="preserve">1. </w:t>
            </w:r>
            <w:r w:rsidR="00031B16">
              <w:rPr>
                <w:sz w:val="20"/>
                <w:szCs w:val="20"/>
              </w:rPr>
              <w:t>75</w:t>
            </w:r>
            <w:r w:rsidRPr="00071BA1">
              <w:rPr>
                <w:sz w:val="20"/>
                <w:szCs w:val="20"/>
              </w:rPr>
              <w:t>%</w:t>
            </w:r>
          </w:p>
          <w:p w:rsidR="00DE6E02" w:rsidRDefault="006D023A" w:rsidP="00097877">
            <w:pPr>
              <w:spacing w:after="60" w:line="240" w:lineRule="auto"/>
              <w:rPr>
                <w:sz w:val="20"/>
                <w:szCs w:val="20"/>
              </w:rPr>
            </w:pPr>
            <w:r w:rsidRPr="00071BA1">
              <w:rPr>
                <w:sz w:val="20"/>
                <w:szCs w:val="20"/>
              </w:rPr>
              <w:t>2.</w:t>
            </w:r>
            <w:r w:rsidR="00272DF9">
              <w:rPr>
                <w:sz w:val="20"/>
                <w:szCs w:val="20"/>
              </w:rPr>
              <w:t>Achieved</w:t>
            </w:r>
          </w:p>
          <w:p w:rsidR="00DE6E02" w:rsidRDefault="00DE6E02" w:rsidP="00BE2261">
            <w:pPr>
              <w:rPr>
                <w:sz w:val="20"/>
                <w:szCs w:val="20"/>
              </w:rPr>
            </w:pPr>
          </w:p>
          <w:p w:rsidR="00DE6E02" w:rsidRDefault="00DE6E02" w:rsidP="00BE2261">
            <w:pPr>
              <w:rPr>
                <w:sz w:val="20"/>
                <w:szCs w:val="20"/>
              </w:rPr>
            </w:pPr>
          </w:p>
          <w:p w:rsidR="00DE6E02" w:rsidRDefault="00DE6E02" w:rsidP="00BE2261">
            <w:pPr>
              <w:rPr>
                <w:sz w:val="20"/>
                <w:szCs w:val="20"/>
              </w:rPr>
            </w:pPr>
          </w:p>
          <w:p w:rsidR="00DE6E02" w:rsidRDefault="00DE6E02" w:rsidP="00BE2261">
            <w:pPr>
              <w:rPr>
                <w:sz w:val="20"/>
                <w:szCs w:val="20"/>
              </w:rPr>
            </w:pPr>
          </w:p>
          <w:p w:rsidR="00DE6E02" w:rsidRDefault="00DE6E02" w:rsidP="00BE2261">
            <w:pPr>
              <w:rPr>
                <w:sz w:val="20"/>
                <w:szCs w:val="20"/>
              </w:rPr>
            </w:pPr>
          </w:p>
          <w:p w:rsidR="00DE6E02" w:rsidRDefault="00DE6E02" w:rsidP="00BE2261">
            <w:pPr>
              <w:rPr>
                <w:sz w:val="20"/>
                <w:szCs w:val="20"/>
              </w:rPr>
            </w:pPr>
          </w:p>
          <w:p w:rsidR="00DE6E02" w:rsidRPr="00071BA1" w:rsidRDefault="00DE6E02" w:rsidP="00BE2261">
            <w:pPr>
              <w:rPr>
                <w:sz w:val="20"/>
                <w:szCs w:val="20"/>
              </w:rPr>
            </w:pPr>
          </w:p>
          <w:p w:rsidR="006D023A" w:rsidRPr="00071BA1" w:rsidRDefault="006D023A" w:rsidP="00BE2261">
            <w:pPr>
              <w:rPr>
                <w:sz w:val="20"/>
                <w:szCs w:val="20"/>
              </w:rPr>
            </w:pPr>
          </w:p>
        </w:tc>
      </w:tr>
      <w:tr w:rsidR="006D023A" w:rsidRPr="00972CA1" w:rsidTr="00097877">
        <w:trPr>
          <w:trHeight w:val="70"/>
        </w:trPr>
        <w:tc>
          <w:tcPr>
            <w:tcW w:w="1276" w:type="dxa"/>
            <w:vMerge/>
            <w:vAlign w:val="center"/>
            <w:hideMark/>
          </w:tcPr>
          <w:p w:rsidR="006D023A" w:rsidRPr="00972CA1" w:rsidRDefault="006D023A" w:rsidP="00877BF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val="en-NZ" w:eastAsia="en-NZ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6D023A" w:rsidRPr="00972CA1" w:rsidRDefault="006D023A" w:rsidP="00877BF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val="en-NZ" w:eastAsia="en-NZ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6E2C93" w:rsidRDefault="006D023A" w:rsidP="00097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val="en-NZ" w:eastAsia="en-NZ"/>
              </w:rPr>
            </w:pPr>
            <w:r w:rsidRPr="00071BA1">
              <w:rPr>
                <w:rFonts w:ascii="Calibri" w:eastAsia="Times New Roman" w:hAnsi="Calibri" w:cs="Times New Roman"/>
                <w:sz w:val="20"/>
                <w:szCs w:val="20"/>
                <w:lang w:val="en-NZ" w:eastAsia="en-NZ"/>
              </w:rPr>
              <w:t xml:space="preserve">There is potential for the </w:t>
            </w:r>
            <w:r w:rsidR="006E2C93">
              <w:rPr>
                <w:rFonts w:ascii="Calibri" w:eastAsia="Times New Roman" w:hAnsi="Calibri" w:cs="Times New Roman"/>
                <w:sz w:val="20"/>
                <w:szCs w:val="20"/>
                <w:lang w:val="en-NZ" w:eastAsia="en-NZ"/>
              </w:rPr>
              <w:t xml:space="preserve">EO </w:t>
            </w:r>
            <w:r w:rsidRPr="00071BA1">
              <w:rPr>
                <w:rFonts w:ascii="Calibri" w:eastAsia="Times New Roman" w:hAnsi="Calibri" w:cs="Times New Roman"/>
                <w:sz w:val="20"/>
                <w:szCs w:val="20"/>
                <w:lang w:val="en-NZ" w:eastAsia="en-NZ"/>
              </w:rPr>
              <w:t xml:space="preserve">to contribute further to increased applications for admission from Māori students </w:t>
            </w:r>
            <w:r w:rsidR="007850CB" w:rsidRPr="00071BA1">
              <w:rPr>
                <w:rFonts w:ascii="Calibri" w:eastAsia="Times New Roman" w:hAnsi="Calibri" w:cs="Times New Roman"/>
                <w:sz w:val="20"/>
                <w:szCs w:val="20"/>
                <w:lang w:val="en-NZ" w:eastAsia="en-NZ"/>
              </w:rPr>
              <w:t>and staff from equity groups.</w:t>
            </w:r>
            <w:r w:rsidR="006E2C93">
              <w:rPr>
                <w:rFonts w:ascii="Calibri" w:eastAsia="Times New Roman" w:hAnsi="Calibri" w:cs="Times New Roman"/>
                <w:sz w:val="20"/>
                <w:szCs w:val="20"/>
                <w:lang w:val="en-NZ" w:eastAsia="en-NZ"/>
              </w:rPr>
              <w:t xml:space="preserve"> </w:t>
            </w:r>
            <w:r w:rsidR="00F5792D" w:rsidRPr="00071BA1">
              <w:rPr>
                <w:rFonts w:ascii="Calibri" w:eastAsia="Times New Roman" w:hAnsi="Calibri" w:cs="Times New Roman"/>
                <w:sz w:val="20"/>
                <w:szCs w:val="20"/>
                <w:lang w:val="en-NZ" w:eastAsia="en-NZ"/>
              </w:rPr>
              <w:t xml:space="preserve">To achieve </w:t>
            </w:r>
            <w:r w:rsidR="00007FF0">
              <w:rPr>
                <w:rFonts w:ascii="Calibri" w:eastAsia="Times New Roman" w:hAnsi="Calibri" w:cs="Times New Roman"/>
                <w:sz w:val="20"/>
                <w:szCs w:val="20"/>
                <w:lang w:val="en-NZ" w:eastAsia="en-NZ"/>
              </w:rPr>
              <w:t xml:space="preserve">this, </w:t>
            </w:r>
            <w:r w:rsidR="007850CB" w:rsidRPr="00071BA1">
              <w:rPr>
                <w:rFonts w:ascii="Calibri" w:eastAsia="Times New Roman" w:hAnsi="Calibri" w:cs="Times New Roman"/>
                <w:sz w:val="20"/>
                <w:szCs w:val="20"/>
                <w:lang w:val="en-NZ" w:eastAsia="en-NZ"/>
              </w:rPr>
              <w:t>the</w:t>
            </w:r>
            <w:r w:rsidR="00F5792D" w:rsidRPr="00071BA1">
              <w:rPr>
                <w:rFonts w:ascii="Calibri" w:eastAsia="Times New Roman" w:hAnsi="Calibri" w:cs="Times New Roman"/>
                <w:sz w:val="20"/>
                <w:szCs w:val="20"/>
                <w:lang w:val="en-NZ" w:eastAsia="en-NZ"/>
              </w:rPr>
              <w:t xml:space="preserve"> </w:t>
            </w:r>
            <w:r w:rsidR="006E2C93">
              <w:rPr>
                <w:rFonts w:ascii="Calibri" w:eastAsia="Times New Roman" w:hAnsi="Calibri" w:cs="Times New Roman"/>
                <w:sz w:val="20"/>
                <w:szCs w:val="20"/>
                <w:lang w:val="en-NZ" w:eastAsia="en-NZ"/>
              </w:rPr>
              <w:t>EO</w:t>
            </w:r>
            <w:r w:rsidR="00F5792D" w:rsidRPr="00071BA1">
              <w:rPr>
                <w:rFonts w:ascii="Calibri" w:eastAsia="Times New Roman" w:hAnsi="Calibri" w:cs="Times New Roman"/>
                <w:sz w:val="20"/>
                <w:szCs w:val="20"/>
                <w:lang w:val="en-NZ" w:eastAsia="en-NZ"/>
              </w:rPr>
              <w:t xml:space="preserve"> will </w:t>
            </w:r>
            <w:r w:rsidR="007850CB" w:rsidRPr="00071BA1">
              <w:rPr>
                <w:rFonts w:ascii="Calibri" w:eastAsia="Times New Roman" w:hAnsi="Calibri" w:cs="Times New Roman"/>
                <w:sz w:val="20"/>
                <w:szCs w:val="20"/>
                <w:lang w:val="en-NZ" w:eastAsia="en-NZ"/>
              </w:rPr>
              <w:t>leverage further on the opportunity to promote study at the University and future career pathways</w:t>
            </w:r>
            <w:r w:rsidR="009F6405" w:rsidRPr="00071BA1">
              <w:rPr>
                <w:rFonts w:ascii="Calibri" w:eastAsia="Times New Roman" w:hAnsi="Calibri" w:cs="Times New Roman"/>
                <w:sz w:val="20"/>
                <w:szCs w:val="20"/>
                <w:lang w:val="en-NZ" w:eastAsia="en-NZ"/>
              </w:rPr>
              <w:t xml:space="preserve"> </w:t>
            </w:r>
            <w:r w:rsidR="00007FF0">
              <w:rPr>
                <w:rFonts w:ascii="Calibri" w:eastAsia="Times New Roman" w:hAnsi="Calibri" w:cs="Times New Roman"/>
                <w:sz w:val="20"/>
                <w:szCs w:val="20"/>
                <w:lang w:val="en-NZ" w:eastAsia="en-NZ"/>
              </w:rPr>
              <w:t xml:space="preserve">through </w:t>
            </w:r>
            <w:r w:rsidR="009F6405" w:rsidRPr="00071BA1">
              <w:rPr>
                <w:rFonts w:ascii="Calibri" w:eastAsia="Times New Roman" w:hAnsi="Calibri" w:cs="Times New Roman"/>
                <w:sz w:val="20"/>
                <w:szCs w:val="20"/>
                <w:lang w:val="en-NZ" w:eastAsia="en-NZ"/>
              </w:rPr>
              <w:t>it</w:t>
            </w:r>
            <w:r w:rsidR="00C91C79" w:rsidRPr="00071BA1">
              <w:rPr>
                <w:rFonts w:ascii="Calibri" w:eastAsia="Times New Roman" w:hAnsi="Calibri" w:cs="Times New Roman"/>
                <w:sz w:val="20"/>
                <w:szCs w:val="20"/>
                <w:lang w:val="en-NZ" w:eastAsia="en-NZ"/>
              </w:rPr>
              <w:t xml:space="preserve">s outreach events to students, </w:t>
            </w:r>
            <w:r w:rsidR="009F6405" w:rsidRPr="00071BA1">
              <w:rPr>
                <w:rFonts w:ascii="Calibri" w:eastAsia="Times New Roman" w:hAnsi="Calibri" w:cs="Times New Roman"/>
                <w:sz w:val="20"/>
                <w:szCs w:val="20"/>
                <w:lang w:val="en-NZ" w:eastAsia="en-NZ"/>
              </w:rPr>
              <w:t>schools, their whānau, families and communities.</w:t>
            </w:r>
            <w:r w:rsidR="007850CB" w:rsidRPr="00071BA1">
              <w:rPr>
                <w:rFonts w:ascii="Calibri" w:eastAsia="Times New Roman" w:hAnsi="Calibri" w:cs="Times New Roman"/>
                <w:sz w:val="20"/>
                <w:szCs w:val="20"/>
                <w:lang w:val="en-NZ" w:eastAsia="en-NZ"/>
              </w:rPr>
              <w:t xml:space="preserve"> It will </w:t>
            </w:r>
            <w:r w:rsidR="00121A0B" w:rsidRPr="00071BA1">
              <w:rPr>
                <w:rFonts w:ascii="Calibri" w:eastAsia="Times New Roman" w:hAnsi="Calibri" w:cs="Times New Roman"/>
                <w:sz w:val="20"/>
                <w:szCs w:val="20"/>
                <w:lang w:val="en-NZ" w:eastAsia="en-NZ"/>
              </w:rPr>
              <w:t xml:space="preserve">increase its </w:t>
            </w:r>
            <w:r w:rsidR="007850CB" w:rsidRPr="00071BA1">
              <w:rPr>
                <w:rFonts w:ascii="Calibri" w:eastAsia="Times New Roman" w:hAnsi="Calibri" w:cs="Times New Roman"/>
                <w:sz w:val="20"/>
                <w:szCs w:val="20"/>
                <w:lang w:val="en-NZ" w:eastAsia="en-NZ"/>
              </w:rPr>
              <w:t xml:space="preserve">work to promote increased participation of </w:t>
            </w:r>
            <w:r w:rsidR="00882FA0" w:rsidRPr="00071BA1">
              <w:rPr>
                <w:rFonts w:ascii="Calibri" w:eastAsia="Times New Roman" w:hAnsi="Calibri" w:cs="Times New Roman"/>
                <w:sz w:val="20"/>
                <w:szCs w:val="20"/>
                <w:lang w:val="en-NZ" w:eastAsia="en-NZ"/>
              </w:rPr>
              <w:t>Māori</w:t>
            </w:r>
            <w:r w:rsidR="007850CB" w:rsidRPr="00071BA1">
              <w:rPr>
                <w:rFonts w:ascii="Calibri" w:eastAsia="Times New Roman" w:hAnsi="Calibri" w:cs="Times New Roman"/>
                <w:sz w:val="20"/>
                <w:szCs w:val="20"/>
                <w:lang w:val="en-NZ" w:eastAsia="en-NZ"/>
              </w:rPr>
              <w:t>, Pacific and women in STEMM b</w:t>
            </w:r>
            <w:r w:rsidR="009F6405" w:rsidRPr="00071BA1">
              <w:rPr>
                <w:rFonts w:ascii="Calibri" w:eastAsia="Times New Roman" w:hAnsi="Calibri" w:cs="Times New Roman"/>
                <w:sz w:val="20"/>
                <w:szCs w:val="20"/>
                <w:lang w:val="en-NZ" w:eastAsia="en-NZ"/>
              </w:rPr>
              <w:t>y</w:t>
            </w:r>
            <w:r w:rsidR="007850CB" w:rsidRPr="00071BA1">
              <w:rPr>
                <w:rFonts w:ascii="Calibri" w:eastAsia="Times New Roman" w:hAnsi="Calibri" w:cs="Times New Roman"/>
                <w:sz w:val="20"/>
                <w:szCs w:val="20"/>
                <w:lang w:val="en-NZ" w:eastAsia="en-NZ"/>
              </w:rPr>
              <w:t xml:space="preserve"> developing and sharing</w:t>
            </w:r>
            <w:r w:rsidR="009F6405" w:rsidRPr="00071BA1">
              <w:rPr>
                <w:rFonts w:ascii="Calibri" w:eastAsia="Times New Roman" w:hAnsi="Calibri" w:cs="Times New Roman"/>
                <w:sz w:val="20"/>
                <w:szCs w:val="20"/>
                <w:lang w:val="en-NZ" w:eastAsia="en-NZ"/>
              </w:rPr>
              <w:t xml:space="preserve"> further</w:t>
            </w:r>
            <w:r w:rsidR="007850CB" w:rsidRPr="00071BA1">
              <w:rPr>
                <w:rFonts w:ascii="Calibri" w:eastAsia="Times New Roman" w:hAnsi="Calibri" w:cs="Times New Roman"/>
                <w:sz w:val="20"/>
                <w:szCs w:val="20"/>
                <w:lang w:val="en-NZ" w:eastAsia="en-NZ"/>
              </w:rPr>
              <w:t xml:space="preserve"> information on </w:t>
            </w:r>
            <w:r w:rsidR="009F6405" w:rsidRPr="00071BA1">
              <w:rPr>
                <w:rFonts w:ascii="Calibri" w:eastAsia="Times New Roman" w:hAnsi="Calibri" w:cs="Times New Roman"/>
                <w:sz w:val="20"/>
                <w:szCs w:val="20"/>
                <w:lang w:val="en-NZ" w:eastAsia="en-NZ"/>
              </w:rPr>
              <w:t xml:space="preserve">pathways for development and </w:t>
            </w:r>
            <w:r w:rsidR="00097877">
              <w:rPr>
                <w:rFonts w:ascii="Calibri" w:eastAsia="Times New Roman" w:hAnsi="Calibri" w:cs="Times New Roman"/>
                <w:sz w:val="20"/>
                <w:szCs w:val="20"/>
                <w:lang w:val="en-NZ" w:eastAsia="en-NZ"/>
              </w:rPr>
              <w:t>leadership opportunities.</w:t>
            </w:r>
          </w:p>
          <w:p w:rsidR="006E2C93" w:rsidRPr="00972CA1" w:rsidRDefault="006E2C93" w:rsidP="00097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val="en-NZ" w:eastAsia="en-NZ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6D023A" w:rsidRPr="00972CA1" w:rsidRDefault="006D023A" w:rsidP="00877BF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val="en-NZ" w:eastAsia="en-NZ"/>
              </w:rPr>
            </w:pPr>
          </w:p>
        </w:tc>
        <w:tc>
          <w:tcPr>
            <w:tcW w:w="2202" w:type="dxa"/>
            <w:vMerge/>
            <w:vAlign w:val="center"/>
            <w:hideMark/>
          </w:tcPr>
          <w:p w:rsidR="006D023A" w:rsidRPr="00972CA1" w:rsidRDefault="006D023A" w:rsidP="00877BF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val="en-NZ" w:eastAsia="en-NZ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D023A" w:rsidRPr="00972CA1" w:rsidRDefault="006D023A" w:rsidP="00877BF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val="en-NZ" w:eastAsia="en-NZ"/>
              </w:rPr>
            </w:pPr>
          </w:p>
        </w:tc>
        <w:tc>
          <w:tcPr>
            <w:tcW w:w="1228" w:type="dxa"/>
            <w:vMerge/>
            <w:vAlign w:val="center"/>
          </w:tcPr>
          <w:p w:rsidR="006D023A" w:rsidRPr="00972CA1" w:rsidRDefault="006D023A" w:rsidP="00877BF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val="en-NZ" w:eastAsia="en-NZ"/>
              </w:rPr>
            </w:pPr>
          </w:p>
        </w:tc>
        <w:tc>
          <w:tcPr>
            <w:tcW w:w="1134" w:type="dxa"/>
            <w:vMerge/>
            <w:vAlign w:val="center"/>
          </w:tcPr>
          <w:p w:rsidR="006D023A" w:rsidRPr="00972CA1" w:rsidRDefault="006D023A" w:rsidP="00877BF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val="en-NZ" w:eastAsia="en-NZ"/>
              </w:rPr>
            </w:pPr>
          </w:p>
        </w:tc>
        <w:tc>
          <w:tcPr>
            <w:tcW w:w="1134" w:type="dxa"/>
            <w:vMerge/>
            <w:vAlign w:val="center"/>
          </w:tcPr>
          <w:p w:rsidR="006D023A" w:rsidRPr="00972CA1" w:rsidRDefault="006D023A" w:rsidP="00877BF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val="en-NZ" w:eastAsia="en-NZ"/>
              </w:rPr>
            </w:pPr>
          </w:p>
        </w:tc>
      </w:tr>
      <w:tr w:rsidR="006D023A" w:rsidRPr="008F67F7" w:rsidTr="00BE2261">
        <w:trPr>
          <w:trHeight w:val="325"/>
        </w:trPr>
        <w:tc>
          <w:tcPr>
            <w:tcW w:w="14770" w:type="dxa"/>
            <w:gridSpan w:val="9"/>
            <w:shd w:val="clear" w:color="000000" w:fill="F2F2F2"/>
            <w:vAlign w:val="center"/>
            <w:hideMark/>
          </w:tcPr>
          <w:p w:rsidR="006D023A" w:rsidRPr="00B14DE1" w:rsidRDefault="003D688A" w:rsidP="00877BF9">
            <w:pPr>
              <w:pStyle w:val="Default"/>
              <w:rPr>
                <w:sz w:val="20"/>
                <w:szCs w:val="20"/>
              </w:rPr>
            </w:pPr>
            <w:r w:rsidRPr="00B14DE1">
              <w:rPr>
                <w:b/>
                <w:bCs/>
                <w:color w:val="auto"/>
                <w:sz w:val="20"/>
                <w:szCs w:val="20"/>
              </w:rPr>
              <w:t>Enhancing support for Māori, Pacific and Students with Disabilities’ retention and success at the UoA</w:t>
            </w:r>
          </w:p>
        </w:tc>
      </w:tr>
      <w:tr w:rsidR="006D023A" w:rsidRPr="00972CA1" w:rsidTr="003A3B01">
        <w:trPr>
          <w:trHeight w:val="766"/>
        </w:trPr>
        <w:tc>
          <w:tcPr>
            <w:tcW w:w="1276" w:type="dxa"/>
            <w:vMerge w:val="restart"/>
            <w:shd w:val="clear" w:color="000000" w:fill="FCD5B4"/>
            <w:hideMark/>
          </w:tcPr>
          <w:p w:rsidR="006D023A" w:rsidRPr="00071BA1" w:rsidRDefault="006D023A" w:rsidP="003A3B0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NZ" w:eastAsia="en-NZ"/>
              </w:rPr>
            </w:pPr>
            <w:r w:rsidRPr="00071BA1">
              <w:rPr>
                <w:rFonts w:eastAsia="Times New Roman" w:cs="Times New Roman"/>
                <w:sz w:val="20"/>
                <w:szCs w:val="20"/>
                <w:lang w:val="en-NZ" w:eastAsia="en-NZ"/>
              </w:rPr>
              <w:t>CE11</w:t>
            </w:r>
          </w:p>
          <w:p w:rsidR="006D023A" w:rsidRPr="00071BA1" w:rsidRDefault="006D023A" w:rsidP="003A3B0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NZ" w:eastAsia="en-NZ"/>
              </w:rPr>
            </w:pPr>
            <w:r w:rsidRPr="00071BA1">
              <w:rPr>
                <w:rFonts w:eastAsia="Times New Roman" w:cs="Times New Roman"/>
                <w:sz w:val="20"/>
                <w:szCs w:val="20"/>
                <w:lang w:val="en-NZ" w:eastAsia="en-NZ"/>
              </w:rPr>
              <w:t>F105</w:t>
            </w:r>
          </w:p>
          <w:p w:rsidR="006D023A" w:rsidRPr="00071BA1" w:rsidRDefault="006D023A" w:rsidP="003A3B0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NZ" w:eastAsia="en-NZ"/>
              </w:rPr>
            </w:pPr>
            <w:r w:rsidRPr="00071BA1">
              <w:rPr>
                <w:rFonts w:eastAsia="Times New Roman" w:cs="Times New Roman"/>
                <w:sz w:val="20"/>
                <w:szCs w:val="20"/>
                <w:lang w:val="en-NZ" w:eastAsia="en-NZ"/>
              </w:rPr>
              <w:t>F108</w:t>
            </w:r>
          </w:p>
          <w:p w:rsidR="006D023A" w:rsidRPr="00071BA1" w:rsidRDefault="006D023A" w:rsidP="003A3B0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NZ" w:eastAsia="en-NZ"/>
              </w:rPr>
            </w:pPr>
            <w:r w:rsidRPr="00071BA1">
              <w:rPr>
                <w:rFonts w:eastAsia="Times New Roman" w:cs="Times New Roman"/>
                <w:sz w:val="20"/>
                <w:szCs w:val="20"/>
                <w:lang w:val="en-NZ" w:eastAsia="en-NZ"/>
              </w:rPr>
              <w:t>GO02</w:t>
            </w:r>
          </w:p>
          <w:p w:rsidR="006D023A" w:rsidRPr="00071BA1" w:rsidRDefault="006D023A" w:rsidP="003A3B0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NZ" w:eastAsia="en-NZ"/>
              </w:rPr>
            </w:pPr>
            <w:r w:rsidRPr="00071BA1">
              <w:rPr>
                <w:rFonts w:eastAsia="Times New Roman" w:cs="Times New Roman"/>
                <w:sz w:val="20"/>
                <w:szCs w:val="20"/>
                <w:lang w:val="en-NZ" w:eastAsia="en-NZ"/>
              </w:rPr>
              <w:t>GO09</w:t>
            </w:r>
          </w:p>
          <w:p w:rsidR="006D023A" w:rsidRPr="00071BA1" w:rsidRDefault="006D023A" w:rsidP="003A3B0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NZ" w:eastAsia="en-NZ"/>
              </w:rPr>
            </w:pPr>
            <w:r w:rsidRPr="00071BA1">
              <w:rPr>
                <w:rFonts w:eastAsia="Times New Roman" w:cs="Times New Roman"/>
                <w:sz w:val="20"/>
                <w:szCs w:val="20"/>
                <w:lang w:val="en-NZ" w:eastAsia="en-NZ"/>
              </w:rPr>
              <w:t>SS10</w:t>
            </w:r>
          </w:p>
          <w:p w:rsidR="006D023A" w:rsidRPr="00071BA1" w:rsidRDefault="006D023A" w:rsidP="003A3B0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NZ" w:eastAsia="en-NZ"/>
              </w:rPr>
            </w:pPr>
            <w:r w:rsidRPr="00071BA1">
              <w:rPr>
                <w:rFonts w:eastAsia="Times New Roman" w:cs="Times New Roman"/>
                <w:sz w:val="20"/>
                <w:szCs w:val="20"/>
                <w:lang w:val="en-NZ" w:eastAsia="en-NZ"/>
              </w:rPr>
              <w:t>SS13</w:t>
            </w:r>
          </w:p>
          <w:p w:rsidR="006D023A" w:rsidRPr="00071BA1" w:rsidRDefault="006D023A" w:rsidP="003A3B0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NZ" w:eastAsia="en-NZ"/>
              </w:rPr>
            </w:pPr>
            <w:r w:rsidRPr="00071BA1">
              <w:rPr>
                <w:rFonts w:eastAsia="Times New Roman" w:cs="Times New Roman"/>
                <w:sz w:val="20"/>
                <w:szCs w:val="20"/>
                <w:lang w:val="en-NZ" w:eastAsia="en-NZ"/>
              </w:rPr>
              <w:t>SS14</w:t>
            </w:r>
          </w:p>
          <w:p w:rsidR="006D023A" w:rsidRPr="00071BA1" w:rsidRDefault="006D023A" w:rsidP="003A3B0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NZ" w:eastAsia="en-NZ"/>
              </w:rPr>
            </w:pPr>
            <w:r w:rsidRPr="00071BA1">
              <w:rPr>
                <w:rFonts w:eastAsia="Times New Roman" w:cs="Times New Roman"/>
                <w:sz w:val="20"/>
                <w:szCs w:val="20"/>
                <w:lang w:val="en-NZ" w:eastAsia="en-NZ"/>
              </w:rPr>
              <w:lastRenderedPageBreak/>
              <w:t>SS15</w:t>
            </w:r>
          </w:p>
          <w:p w:rsidR="006D023A" w:rsidRPr="00071BA1" w:rsidRDefault="006D023A" w:rsidP="003A3B0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NZ" w:eastAsia="en-NZ"/>
              </w:rPr>
            </w:pPr>
            <w:r w:rsidRPr="00071BA1">
              <w:rPr>
                <w:rFonts w:eastAsia="Times New Roman" w:cs="Times New Roman"/>
                <w:sz w:val="20"/>
                <w:szCs w:val="20"/>
                <w:lang w:val="en-NZ" w:eastAsia="en-NZ"/>
              </w:rPr>
              <w:t>SS17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6D023A" w:rsidRPr="00071BA1" w:rsidRDefault="006D023A" w:rsidP="003A3B0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NZ" w:eastAsia="en-NZ"/>
              </w:rPr>
            </w:pPr>
            <w:r w:rsidRPr="00071BA1">
              <w:rPr>
                <w:rFonts w:eastAsia="Times New Roman" w:cs="Times New Roman"/>
                <w:sz w:val="20"/>
                <w:szCs w:val="20"/>
                <w:lang w:val="en-NZ" w:eastAsia="en-NZ"/>
              </w:rPr>
              <w:lastRenderedPageBreak/>
              <w:t> Student Equity</w:t>
            </w:r>
          </w:p>
        </w:tc>
        <w:tc>
          <w:tcPr>
            <w:tcW w:w="2835" w:type="dxa"/>
            <w:shd w:val="clear" w:color="auto" w:fill="auto"/>
            <w:hideMark/>
          </w:tcPr>
          <w:p w:rsidR="00EB7729" w:rsidRPr="00071BA1" w:rsidRDefault="006D023A" w:rsidP="003A3B01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val="en-NZ" w:eastAsia="en-NZ"/>
              </w:rPr>
            </w:pPr>
            <w:r w:rsidRPr="00071BA1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val="en-NZ" w:eastAsia="en-NZ"/>
              </w:rPr>
              <w:t>Current performance rating</w:t>
            </w:r>
            <w:r w:rsidRPr="00071BA1">
              <w:rPr>
                <w:rFonts w:eastAsia="Times New Roman" w:cs="Times New Roman"/>
                <w:b/>
                <w:bCs/>
                <w:sz w:val="20"/>
                <w:szCs w:val="20"/>
                <w:lang w:val="en-NZ" w:eastAsia="en-NZ"/>
              </w:rPr>
              <w:t xml:space="preserve">:  2    </w:t>
            </w:r>
            <w:r w:rsidRPr="00071BA1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val="en-NZ" w:eastAsia="en-NZ"/>
              </w:rPr>
              <w:t>Future performance rating</w:t>
            </w:r>
            <w:r w:rsidRPr="00071BA1">
              <w:rPr>
                <w:rFonts w:eastAsia="Times New Roman" w:cs="Times New Roman"/>
                <w:b/>
                <w:bCs/>
                <w:sz w:val="20"/>
                <w:szCs w:val="20"/>
                <w:lang w:val="en-NZ" w:eastAsia="en-NZ"/>
              </w:rPr>
              <w:t>:  4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6D023A" w:rsidRPr="00071BA1" w:rsidRDefault="00C91C79" w:rsidP="003A3B0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NZ" w:eastAsia="en-NZ"/>
              </w:rPr>
            </w:pPr>
            <w:r w:rsidRPr="00071BA1">
              <w:rPr>
                <w:rFonts w:eastAsia="Times New Roman" w:cs="Times New Roman"/>
                <w:sz w:val="20"/>
                <w:szCs w:val="20"/>
                <w:lang w:val="en-NZ" w:eastAsia="en-NZ"/>
              </w:rPr>
              <w:t xml:space="preserve">The </w:t>
            </w:r>
            <w:r w:rsidR="00071BA1" w:rsidRPr="00071BA1">
              <w:rPr>
                <w:rFonts w:eastAsia="Times New Roman" w:cs="Times New Roman"/>
                <w:sz w:val="20"/>
                <w:szCs w:val="20"/>
                <w:lang w:val="en-NZ" w:eastAsia="en-NZ"/>
              </w:rPr>
              <w:t>EO</w:t>
            </w:r>
            <w:r w:rsidRPr="00071BA1">
              <w:rPr>
                <w:rFonts w:eastAsia="Times New Roman" w:cs="Times New Roman"/>
                <w:sz w:val="20"/>
                <w:szCs w:val="20"/>
                <w:lang w:val="en-NZ" w:eastAsia="en-NZ"/>
              </w:rPr>
              <w:t xml:space="preserve"> will build on its current support for </w:t>
            </w:r>
            <w:r w:rsidR="00882FA0" w:rsidRPr="00071BA1">
              <w:rPr>
                <w:rFonts w:eastAsia="Times New Roman" w:cs="Times New Roman"/>
                <w:sz w:val="20"/>
                <w:szCs w:val="20"/>
                <w:lang w:val="en-NZ" w:eastAsia="en-NZ"/>
              </w:rPr>
              <w:t>Māori</w:t>
            </w:r>
            <w:r w:rsidRPr="00071BA1">
              <w:rPr>
                <w:rFonts w:eastAsia="Times New Roman" w:cs="Times New Roman"/>
                <w:sz w:val="20"/>
                <w:szCs w:val="20"/>
                <w:lang w:val="en-NZ" w:eastAsia="en-NZ"/>
              </w:rPr>
              <w:t xml:space="preserve">, Pacific  and </w:t>
            </w:r>
            <w:r w:rsidR="00B86F40" w:rsidRPr="00071BA1">
              <w:rPr>
                <w:rFonts w:eastAsia="Times New Roman" w:cs="Times New Roman"/>
                <w:sz w:val="20"/>
                <w:szCs w:val="20"/>
                <w:lang w:val="en-NZ" w:eastAsia="en-NZ"/>
              </w:rPr>
              <w:t>students’</w:t>
            </w:r>
            <w:r w:rsidRPr="00071BA1">
              <w:rPr>
                <w:rFonts w:eastAsia="Times New Roman" w:cs="Times New Roman"/>
                <w:sz w:val="20"/>
                <w:szCs w:val="20"/>
                <w:lang w:val="en-NZ" w:eastAsia="en-NZ"/>
              </w:rPr>
              <w:t xml:space="preserve"> with disabilities’ retention and success by providing </w:t>
            </w:r>
            <w:r w:rsidR="00B86F40" w:rsidRPr="00071BA1">
              <w:rPr>
                <w:rFonts w:eastAsia="Times New Roman" w:cs="Times New Roman"/>
                <w:sz w:val="20"/>
                <w:szCs w:val="20"/>
                <w:lang w:val="en-NZ" w:eastAsia="en-NZ"/>
              </w:rPr>
              <w:t xml:space="preserve">relevant student data to school </w:t>
            </w:r>
            <w:r w:rsidR="00B86F40" w:rsidRPr="00071BA1">
              <w:rPr>
                <w:rFonts w:eastAsia="Times New Roman" w:cs="Times New Roman"/>
                <w:sz w:val="20"/>
                <w:szCs w:val="20"/>
                <w:lang w:val="en-NZ" w:eastAsia="en-NZ"/>
              </w:rPr>
              <w:lastRenderedPageBreak/>
              <w:t>leaders so that they can more effectively support future students’ preparation for study at the University.</w:t>
            </w:r>
          </w:p>
          <w:p w:rsidR="00B86F40" w:rsidRPr="00071BA1" w:rsidRDefault="00B86F40" w:rsidP="003A3B0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NZ" w:eastAsia="en-NZ"/>
              </w:rPr>
            </w:pPr>
          </w:p>
          <w:p w:rsidR="00EB7729" w:rsidRDefault="00B86F40" w:rsidP="003A3B01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val="en-NZ" w:eastAsia="en-NZ"/>
              </w:rPr>
            </w:pPr>
            <w:r w:rsidRPr="00071BA1">
              <w:rPr>
                <w:rFonts w:eastAsia="Times New Roman" w:cs="Times New Roman"/>
                <w:sz w:val="20"/>
                <w:szCs w:val="20"/>
                <w:lang w:val="en-NZ" w:eastAsia="en-NZ"/>
              </w:rPr>
              <w:t xml:space="preserve">It will also increase the provision of information on the support on offer at the University to </w:t>
            </w:r>
            <w:r w:rsidRPr="00071BA1">
              <w:rPr>
                <w:rFonts w:eastAsia="Times New Roman" w:cs="Times New Roman"/>
                <w:bCs/>
                <w:sz w:val="20"/>
                <w:szCs w:val="20"/>
                <w:lang w:val="en-NZ" w:eastAsia="en-NZ"/>
              </w:rPr>
              <w:t>schools, future students, families, whānau and communities. This will in turn contribute to increased uptake of support and improved retention of and success for students.</w:t>
            </w:r>
          </w:p>
          <w:p w:rsidR="00FB22A1" w:rsidRDefault="00FB22A1" w:rsidP="003A3B01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val="en-NZ" w:eastAsia="en-NZ"/>
              </w:rPr>
            </w:pPr>
          </w:p>
          <w:p w:rsidR="00FB22A1" w:rsidRDefault="00FB22A1" w:rsidP="003A3B01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val="en-NZ" w:eastAsia="en-NZ"/>
              </w:rPr>
            </w:pPr>
          </w:p>
          <w:p w:rsidR="00FB22A1" w:rsidRDefault="00FB22A1" w:rsidP="003A3B01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val="en-NZ" w:eastAsia="en-NZ"/>
              </w:rPr>
            </w:pPr>
          </w:p>
          <w:p w:rsidR="00FB22A1" w:rsidRDefault="00FB22A1" w:rsidP="003A3B01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val="en-NZ" w:eastAsia="en-NZ"/>
              </w:rPr>
            </w:pPr>
          </w:p>
          <w:p w:rsidR="00FB22A1" w:rsidRDefault="00FB22A1" w:rsidP="003A3B01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val="en-NZ" w:eastAsia="en-NZ"/>
              </w:rPr>
            </w:pPr>
          </w:p>
          <w:p w:rsidR="00FB22A1" w:rsidRDefault="00FB22A1" w:rsidP="003A3B01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val="en-NZ" w:eastAsia="en-NZ"/>
              </w:rPr>
            </w:pPr>
          </w:p>
          <w:p w:rsidR="00FB22A1" w:rsidRDefault="00FB22A1" w:rsidP="003A3B01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val="en-NZ" w:eastAsia="en-NZ"/>
              </w:rPr>
            </w:pPr>
          </w:p>
          <w:p w:rsidR="00FB22A1" w:rsidRDefault="00FB22A1" w:rsidP="003A3B01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val="en-NZ" w:eastAsia="en-NZ"/>
              </w:rPr>
            </w:pPr>
          </w:p>
          <w:p w:rsidR="00FB22A1" w:rsidRDefault="00FB22A1" w:rsidP="003A3B01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val="en-NZ" w:eastAsia="en-NZ"/>
              </w:rPr>
            </w:pPr>
          </w:p>
          <w:p w:rsidR="00FB22A1" w:rsidRDefault="00FB22A1" w:rsidP="003A3B01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val="en-NZ" w:eastAsia="en-NZ"/>
              </w:rPr>
            </w:pPr>
          </w:p>
          <w:p w:rsidR="00FB22A1" w:rsidRDefault="00FB22A1" w:rsidP="003A3B01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val="en-NZ" w:eastAsia="en-NZ"/>
              </w:rPr>
            </w:pPr>
          </w:p>
          <w:p w:rsidR="00FB22A1" w:rsidRDefault="00FB22A1" w:rsidP="003A3B01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val="en-NZ" w:eastAsia="en-NZ"/>
              </w:rPr>
            </w:pPr>
          </w:p>
          <w:p w:rsidR="00FB22A1" w:rsidRPr="00071BA1" w:rsidRDefault="00FB22A1" w:rsidP="003A3B0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NZ" w:eastAsia="en-NZ"/>
              </w:rPr>
            </w:pPr>
          </w:p>
        </w:tc>
        <w:tc>
          <w:tcPr>
            <w:tcW w:w="2202" w:type="dxa"/>
            <w:vMerge w:val="restart"/>
            <w:shd w:val="clear" w:color="auto" w:fill="auto"/>
            <w:hideMark/>
          </w:tcPr>
          <w:p w:rsidR="006D023A" w:rsidRPr="00071BA1" w:rsidRDefault="006D023A" w:rsidP="003A3B01">
            <w:pPr>
              <w:numPr>
                <w:ilvl w:val="0"/>
                <w:numId w:val="14"/>
              </w:numPr>
              <w:spacing w:after="60" w:line="240" w:lineRule="auto"/>
              <w:ind w:left="318" w:hanging="284"/>
              <w:rPr>
                <w:rFonts w:eastAsia="Times New Roman" w:cs="Times New Roman"/>
                <w:sz w:val="20"/>
                <w:szCs w:val="20"/>
                <w:lang w:val="en-NZ" w:eastAsia="en-NZ"/>
              </w:rPr>
            </w:pPr>
            <w:r w:rsidRPr="00071BA1">
              <w:rPr>
                <w:rFonts w:eastAsia="Times New Roman" w:cs="Times New Roman"/>
                <w:sz w:val="20"/>
                <w:szCs w:val="20"/>
                <w:lang w:val="en-NZ" w:eastAsia="en-NZ"/>
              </w:rPr>
              <w:lastRenderedPageBreak/>
              <w:t>Increase the % of Māori and Pacific UTAS students registered to participate in the Tuākana Learning Community.</w:t>
            </w:r>
          </w:p>
          <w:p w:rsidR="00071BA1" w:rsidRPr="003A3B01" w:rsidRDefault="00654DFA" w:rsidP="00AD32B2">
            <w:pPr>
              <w:numPr>
                <w:ilvl w:val="0"/>
                <w:numId w:val="14"/>
              </w:numPr>
              <w:spacing w:after="60" w:line="240" w:lineRule="auto"/>
              <w:ind w:left="318" w:hanging="284"/>
              <w:rPr>
                <w:rFonts w:eastAsia="Times New Roman" w:cs="Times New Roman"/>
                <w:sz w:val="20"/>
                <w:szCs w:val="20"/>
                <w:lang w:val="en-NZ" w:eastAsia="en-NZ"/>
              </w:rPr>
            </w:pPr>
            <w:r w:rsidRPr="003A3B01">
              <w:rPr>
                <w:rFonts w:eastAsia="Times New Roman" w:cs="Times New Roman"/>
                <w:sz w:val="20"/>
                <w:szCs w:val="20"/>
                <w:lang w:val="en-NZ" w:eastAsia="en-NZ"/>
              </w:rPr>
              <w:lastRenderedPageBreak/>
              <w:t>100</w:t>
            </w:r>
            <w:r w:rsidR="006D023A" w:rsidRPr="003A3B01">
              <w:rPr>
                <w:rFonts w:eastAsia="Times New Roman" w:cs="Times New Roman"/>
                <w:sz w:val="20"/>
                <w:szCs w:val="20"/>
                <w:lang w:val="en-NZ" w:eastAsia="en-NZ"/>
              </w:rPr>
              <w:t xml:space="preserve"> % of UTAS students with disabilities registered with Student Disability Services.</w:t>
            </w:r>
          </w:p>
          <w:p w:rsidR="00071BA1" w:rsidRPr="00071BA1" w:rsidRDefault="00071BA1" w:rsidP="003A3B01">
            <w:pPr>
              <w:spacing w:after="60" w:line="240" w:lineRule="auto"/>
              <w:rPr>
                <w:rFonts w:eastAsia="Times New Roman" w:cs="Times New Roman"/>
                <w:sz w:val="20"/>
                <w:szCs w:val="20"/>
                <w:lang w:val="en-NZ" w:eastAsia="en-NZ"/>
              </w:rPr>
            </w:pPr>
          </w:p>
          <w:p w:rsidR="00071BA1" w:rsidRPr="00071BA1" w:rsidRDefault="00071BA1" w:rsidP="003A3B01">
            <w:pPr>
              <w:spacing w:after="60" w:line="240" w:lineRule="auto"/>
              <w:ind w:left="318"/>
              <w:rPr>
                <w:rFonts w:eastAsia="Times New Roman" w:cs="Times New Roman"/>
                <w:sz w:val="20"/>
                <w:szCs w:val="20"/>
                <w:lang w:val="en-NZ" w:eastAsia="en-NZ"/>
              </w:rPr>
            </w:pPr>
          </w:p>
          <w:p w:rsidR="00071BA1" w:rsidRPr="00071BA1" w:rsidRDefault="00071BA1" w:rsidP="003A3B01">
            <w:pPr>
              <w:spacing w:after="60" w:line="240" w:lineRule="auto"/>
              <w:ind w:left="318"/>
              <w:rPr>
                <w:rFonts w:eastAsia="Times New Roman" w:cs="Times New Roman"/>
                <w:sz w:val="20"/>
                <w:szCs w:val="20"/>
                <w:lang w:val="en-NZ" w:eastAsia="en-NZ"/>
              </w:rPr>
            </w:pPr>
          </w:p>
          <w:p w:rsidR="00071BA1" w:rsidRPr="00071BA1" w:rsidRDefault="00071BA1" w:rsidP="003A3B01">
            <w:pPr>
              <w:spacing w:after="60" w:line="240" w:lineRule="auto"/>
              <w:ind w:left="318"/>
              <w:rPr>
                <w:rFonts w:eastAsia="Times New Roman" w:cs="Times New Roman"/>
                <w:sz w:val="20"/>
                <w:szCs w:val="20"/>
                <w:lang w:val="en-NZ" w:eastAsia="en-NZ"/>
              </w:rPr>
            </w:pPr>
          </w:p>
          <w:p w:rsidR="00071BA1" w:rsidRPr="00071BA1" w:rsidRDefault="00071BA1" w:rsidP="003A3B01">
            <w:pPr>
              <w:spacing w:after="60" w:line="240" w:lineRule="auto"/>
              <w:rPr>
                <w:rFonts w:eastAsia="Times New Roman" w:cs="Times New Roman"/>
                <w:sz w:val="20"/>
                <w:szCs w:val="20"/>
                <w:lang w:val="en-NZ" w:eastAsia="en-NZ"/>
              </w:rPr>
            </w:pP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6D023A" w:rsidRPr="00C11F1C" w:rsidRDefault="006D023A" w:rsidP="003A3B01">
            <w:pPr>
              <w:pStyle w:val="ListParagraph"/>
              <w:numPr>
                <w:ilvl w:val="0"/>
                <w:numId w:val="15"/>
              </w:numPr>
              <w:spacing w:after="60" w:line="240" w:lineRule="auto"/>
              <w:ind w:left="142" w:hanging="186"/>
              <w:rPr>
                <w:rFonts w:eastAsia="Times New Roman"/>
                <w:sz w:val="20"/>
                <w:szCs w:val="20"/>
              </w:rPr>
            </w:pPr>
            <w:r w:rsidRPr="00C11F1C">
              <w:rPr>
                <w:rFonts w:eastAsia="Times New Roman"/>
                <w:sz w:val="20"/>
                <w:szCs w:val="20"/>
              </w:rPr>
              <w:lastRenderedPageBreak/>
              <w:t>N/A</w:t>
            </w:r>
          </w:p>
          <w:p w:rsidR="00B86F40" w:rsidRPr="00C11F1C" w:rsidRDefault="005B1A7D" w:rsidP="00574C9C">
            <w:pPr>
              <w:pStyle w:val="ListParagraph"/>
              <w:numPr>
                <w:ilvl w:val="0"/>
                <w:numId w:val="15"/>
              </w:numPr>
              <w:spacing w:after="60" w:line="240" w:lineRule="auto"/>
              <w:ind w:left="142" w:hanging="186"/>
              <w:rPr>
                <w:rFonts w:eastAsia="Times New Roman" w:cs="Times New Roman"/>
                <w:sz w:val="20"/>
                <w:szCs w:val="20"/>
              </w:rPr>
            </w:pPr>
            <w:r w:rsidRPr="00C11F1C">
              <w:rPr>
                <w:rFonts w:eastAsia="Times New Roman"/>
                <w:sz w:val="20"/>
                <w:szCs w:val="20"/>
              </w:rPr>
              <w:t>N/A</w:t>
            </w:r>
          </w:p>
          <w:p w:rsidR="00EB7729" w:rsidRPr="003541D4" w:rsidRDefault="00EB7729" w:rsidP="003A3B01">
            <w:pPr>
              <w:spacing w:after="60" w:line="240" w:lineRule="auto"/>
              <w:rPr>
                <w:rFonts w:eastAsia="Times New Roman" w:cs="Times New Roman"/>
                <w:sz w:val="20"/>
                <w:szCs w:val="20"/>
                <w:highlight w:val="yellow"/>
                <w:lang w:val="en-NZ" w:eastAsia="en-NZ"/>
              </w:rPr>
            </w:pPr>
          </w:p>
          <w:p w:rsidR="00EB7729" w:rsidRPr="003541D4" w:rsidRDefault="00EB7729" w:rsidP="003A3B01">
            <w:pPr>
              <w:spacing w:after="60" w:line="240" w:lineRule="auto"/>
              <w:rPr>
                <w:rFonts w:eastAsia="Times New Roman" w:cs="Times New Roman"/>
                <w:sz w:val="20"/>
                <w:szCs w:val="20"/>
                <w:highlight w:val="yellow"/>
                <w:lang w:val="en-NZ" w:eastAsia="en-NZ"/>
              </w:rPr>
            </w:pPr>
          </w:p>
          <w:p w:rsidR="00EB7729" w:rsidRPr="003541D4" w:rsidRDefault="00EB7729" w:rsidP="003A3B01">
            <w:pPr>
              <w:spacing w:after="60" w:line="240" w:lineRule="auto"/>
              <w:rPr>
                <w:rFonts w:eastAsia="Times New Roman" w:cs="Times New Roman"/>
                <w:sz w:val="20"/>
                <w:szCs w:val="20"/>
                <w:highlight w:val="yellow"/>
                <w:lang w:val="en-NZ" w:eastAsia="en-NZ"/>
              </w:rPr>
            </w:pPr>
          </w:p>
          <w:p w:rsidR="00EB7729" w:rsidRPr="003541D4" w:rsidRDefault="00EB7729" w:rsidP="003A3B01">
            <w:pPr>
              <w:spacing w:after="60" w:line="240" w:lineRule="auto"/>
              <w:rPr>
                <w:rFonts w:eastAsia="Times New Roman" w:cs="Times New Roman"/>
                <w:sz w:val="20"/>
                <w:szCs w:val="20"/>
                <w:highlight w:val="yellow"/>
                <w:lang w:val="en-NZ" w:eastAsia="en-NZ"/>
              </w:rPr>
            </w:pPr>
          </w:p>
          <w:p w:rsidR="00EB7729" w:rsidRPr="003541D4" w:rsidRDefault="00EB7729" w:rsidP="003A3B01">
            <w:pPr>
              <w:spacing w:after="60" w:line="240" w:lineRule="auto"/>
              <w:rPr>
                <w:rFonts w:eastAsia="Times New Roman" w:cs="Times New Roman"/>
                <w:sz w:val="20"/>
                <w:szCs w:val="20"/>
                <w:highlight w:val="yellow"/>
                <w:lang w:val="en-NZ" w:eastAsia="en-NZ"/>
              </w:rPr>
            </w:pPr>
          </w:p>
          <w:p w:rsidR="00EB7729" w:rsidRPr="003541D4" w:rsidRDefault="00EB7729" w:rsidP="003A3B01">
            <w:pPr>
              <w:spacing w:after="60" w:line="240" w:lineRule="auto"/>
              <w:rPr>
                <w:rFonts w:eastAsia="Times New Roman" w:cs="Times New Roman"/>
                <w:sz w:val="20"/>
                <w:szCs w:val="20"/>
                <w:highlight w:val="yellow"/>
                <w:lang w:val="en-NZ" w:eastAsia="en-NZ"/>
              </w:rPr>
            </w:pPr>
          </w:p>
          <w:p w:rsidR="00EB7729" w:rsidRPr="003541D4" w:rsidRDefault="00EB7729" w:rsidP="003A3B01">
            <w:pPr>
              <w:spacing w:after="60" w:line="240" w:lineRule="auto"/>
              <w:rPr>
                <w:rFonts w:eastAsia="Times New Roman" w:cs="Times New Roman"/>
                <w:sz w:val="20"/>
                <w:szCs w:val="20"/>
                <w:highlight w:val="yellow"/>
                <w:lang w:val="en-NZ" w:eastAsia="en-NZ"/>
              </w:rPr>
            </w:pPr>
          </w:p>
          <w:p w:rsidR="00B86F40" w:rsidRPr="003541D4" w:rsidRDefault="00B86F40" w:rsidP="003A3B01">
            <w:pPr>
              <w:spacing w:after="60" w:line="240" w:lineRule="auto"/>
              <w:rPr>
                <w:rFonts w:eastAsia="Times New Roman" w:cs="Times New Roman"/>
                <w:sz w:val="20"/>
                <w:szCs w:val="20"/>
                <w:highlight w:val="yellow"/>
                <w:lang w:val="en-NZ" w:eastAsia="en-NZ"/>
              </w:rPr>
            </w:pPr>
          </w:p>
          <w:p w:rsidR="00B17BB0" w:rsidRPr="003541D4" w:rsidRDefault="00B17BB0" w:rsidP="003A3B01">
            <w:pPr>
              <w:spacing w:after="60" w:line="240" w:lineRule="auto"/>
              <w:rPr>
                <w:rFonts w:eastAsia="Times New Roman" w:cs="Times New Roman"/>
                <w:sz w:val="20"/>
                <w:szCs w:val="20"/>
                <w:highlight w:val="yellow"/>
                <w:lang w:val="en-NZ" w:eastAsia="en-NZ"/>
              </w:rPr>
            </w:pPr>
          </w:p>
          <w:p w:rsidR="00B17BB0" w:rsidRPr="003541D4" w:rsidRDefault="00B17BB0" w:rsidP="003A3B01">
            <w:pPr>
              <w:spacing w:after="60" w:line="240" w:lineRule="auto"/>
              <w:rPr>
                <w:rFonts w:eastAsia="Times New Roman" w:cs="Times New Roman"/>
                <w:sz w:val="20"/>
                <w:szCs w:val="20"/>
                <w:highlight w:val="yellow"/>
                <w:lang w:val="en-NZ" w:eastAsia="en-NZ"/>
              </w:rPr>
            </w:pPr>
          </w:p>
          <w:p w:rsidR="00B17BB0" w:rsidRPr="003541D4" w:rsidRDefault="00B17BB0" w:rsidP="003A3B01">
            <w:pPr>
              <w:spacing w:after="60" w:line="240" w:lineRule="auto"/>
              <w:rPr>
                <w:rFonts w:eastAsia="Times New Roman" w:cs="Times New Roman"/>
                <w:sz w:val="20"/>
                <w:szCs w:val="20"/>
                <w:highlight w:val="yellow"/>
                <w:lang w:val="en-NZ" w:eastAsia="en-NZ"/>
              </w:rPr>
            </w:pPr>
          </w:p>
          <w:p w:rsidR="00B17BB0" w:rsidRPr="003541D4" w:rsidRDefault="00B17BB0" w:rsidP="003A3B01">
            <w:pPr>
              <w:spacing w:after="60" w:line="240" w:lineRule="auto"/>
              <w:rPr>
                <w:rFonts w:eastAsia="Times New Roman" w:cs="Times New Roman"/>
                <w:sz w:val="20"/>
                <w:szCs w:val="20"/>
                <w:highlight w:val="yellow"/>
                <w:lang w:val="en-NZ" w:eastAsia="en-NZ"/>
              </w:rPr>
            </w:pPr>
          </w:p>
          <w:p w:rsidR="00B86F40" w:rsidRPr="003541D4" w:rsidRDefault="00B86F40" w:rsidP="003A3B01">
            <w:pPr>
              <w:spacing w:after="60" w:line="240" w:lineRule="auto"/>
              <w:rPr>
                <w:rFonts w:eastAsia="Times New Roman" w:cs="Times New Roman"/>
                <w:sz w:val="20"/>
                <w:szCs w:val="20"/>
                <w:highlight w:val="yellow"/>
                <w:lang w:val="en-NZ" w:eastAsia="en-NZ"/>
              </w:rPr>
            </w:pPr>
          </w:p>
          <w:p w:rsidR="00B86F40" w:rsidRPr="003541D4" w:rsidRDefault="00B86F40" w:rsidP="003A3B01">
            <w:pPr>
              <w:spacing w:after="60" w:line="240" w:lineRule="auto"/>
              <w:rPr>
                <w:rFonts w:eastAsia="Times New Roman" w:cs="Times New Roman"/>
                <w:sz w:val="20"/>
                <w:szCs w:val="20"/>
                <w:highlight w:val="yellow"/>
                <w:lang w:val="en-NZ" w:eastAsia="en-NZ"/>
              </w:rPr>
            </w:pPr>
          </w:p>
          <w:p w:rsidR="00B86F40" w:rsidRPr="003541D4" w:rsidRDefault="00B86F40" w:rsidP="003A3B01">
            <w:pPr>
              <w:spacing w:after="60" w:line="240" w:lineRule="auto"/>
              <w:rPr>
                <w:rFonts w:eastAsia="Times New Roman" w:cs="Times New Roman"/>
                <w:sz w:val="20"/>
                <w:szCs w:val="20"/>
                <w:highlight w:val="yellow"/>
                <w:lang w:val="en-NZ" w:eastAsia="en-NZ"/>
              </w:rPr>
            </w:pPr>
          </w:p>
          <w:p w:rsidR="00B86F40" w:rsidRPr="003541D4" w:rsidRDefault="00B86F40" w:rsidP="003A3B01">
            <w:pPr>
              <w:spacing w:after="60" w:line="240" w:lineRule="auto"/>
              <w:rPr>
                <w:rFonts w:eastAsia="Times New Roman" w:cs="Times New Roman"/>
                <w:sz w:val="20"/>
                <w:szCs w:val="20"/>
                <w:highlight w:val="yellow"/>
                <w:lang w:val="en-NZ" w:eastAsia="en-NZ"/>
              </w:rPr>
            </w:pPr>
          </w:p>
          <w:p w:rsidR="00B86F40" w:rsidRPr="003541D4" w:rsidRDefault="00B86F40" w:rsidP="003A3B01">
            <w:pPr>
              <w:spacing w:after="60" w:line="240" w:lineRule="auto"/>
              <w:rPr>
                <w:rFonts w:eastAsia="Times New Roman" w:cs="Times New Roman"/>
                <w:sz w:val="20"/>
                <w:szCs w:val="20"/>
                <w:highlight w:val="yellow"/>
                <w:lang w:val="en-NZ" w:eastAsia="en-NZ"/>
              </w:rPr>
            </w:pPr>
          </w:p>
          <w:p w:rsidR="00B86F40" w:rsidRPr="003541D4" w:rsidRDefault="00B86F40" w:rsidP="003A3B01">
            <w:pPr>
              <w:spacing w:after="60" w:line="240" w:lineRule="auto"/>
              <w:rPr>
                <w:rFonts w:eastAsia="Times New Roman" w:cs="Times New Roman"/>
                <w:sz w:val="20"/>
                <w:szCs w:val="20"/>
                <w:highlight w:val="yellow"/>
                <w:lang w:val="en-NZ" w:eastAsia="en-NZ"/>
              </w:rPr>
            </w:pPr>
          </w:p>
          <w:p w:rsidR="00EB7729" w:rsidRPr="003541D4" w:rsidRDefault="00EB7729" w:rsidP="003A3B01">
            <w:pPr>
              <w:spacing w:after="60" w:line="240" w:lineRule="auto"/>
              <w:rPr>
                <w:rFonts w:eastAsia="Times New Roman" w:cs="Times New Roman"/>
                <w:sz w:val="20"/>
                <w:szCs w:val="20"/>
                <w:highlight w:val="yellow"/>
                <w:lang w:val="en-NZ" w:eastAsia="en-NZ"/>
              </w:rPr>
            </w:pPr>
          </w:p>
        </w:tc>
        <w:tc>
          <w:tcPr>
            <w:tcW w:w="1228" w:type="dxa"/>
            <w:vMerge w:val="restart"/>
            <w:shd w:val="clear" w:color="auto" w:fill="auto"/>
            <w:hideMark/>
          </w:tcPr>
          <w:p w:rsidR="006D023A" w:rsidRPr="002205C6" w:rsidRDefault="002A58A5" w:rsidP="003A3B01">
            <w:pPr>
              <w:pStyle w:val="ListParagraph"/>
              <w:numPr>
                <w:ilvl w:val="0"/>
                <w:numId w:val="18"/>
              </w:numPr>
              <w:spacing w:after="60" w:line="240" w:lineRule="auto"/>
              <w:ind w:left="142" w:hanging="176"/>
              <w:rPr>
                <w:rFonts w:eastAsia="Times New Roman"/>
                <w:sz w:val="20"/>
                <w:szCs w:val="20"/>
              </w:rPr>
            </w:pPr>
            <w:r w:rsidRPr="002205C6">
              <w:rPr>
                <w:rFonts w:eastAsia="Times New Roman"/>
                <w:sz w:val="20"/>
                <w:szCs w:val="20"/>
              </w:rPr>
              <w:lastRenderedPageBreak/>
              <w:t>N/A</w:t>
            </w:r>
          </w:p>
          <w:p w:rsidR="00B86F40" w:rsidRPr="002205C6" w:rsidRDefault="005B1A7D" w:rsidP="00D177AD">
            <w:pPr>
              <w:pStyle w:val="ListParagraph"/>
              <w:numPr>
                <w:ilvl w:val="0"/>
                <w:numId w:val="18"/>
              </w:numPr>
              <w:spacing w:after="60" w:line="240" w:lineRule="auto"/>
              <w:ind w:left="142" w:hanging="176"/>
              <w:rPr>
                <w:rFonts w:eastAsia="Times New Roman" w:cs="Times New Roman"/>
                <w:sz w:val="20"/>
                <w:szCs w:val="20"/>
              </w:rPr>
            </w:pPr>
            <w:r w:rsidRPr="002205C6">
              <w:rPr>
                <w:rFonts w:eastAsia="Times New Roman"/>
                <w:sz w:val="20"/>
                <w:szCs w:val="20"/>
              </w:rPr>
              <w:t>N/A</w:t>
            </w:r>
          </w:p>
          <w:p w:rsidR="00B86F40" w:rsidRPr="002205C6" w:rsidRDefault="00B86F40" w:rsidP="003A3B01">
            <w:pPr>
              <w:spacing w:after="60" w:line="240" w:lineRule="auto"/>
              <w:contextualSpacing/>
              <w:rPr>
                <w:rFonts w:eastAsia="Times New Roman" w:cs="Times New Roman"/>
                <w:sz w:val="20"/>
                <w:szCs w:val="20"/>
                <w:lang w:val="en-NZ" w:eastAsia="en-NZ"/>
              </w:rPr>
            </w:pPr>
          </w:p>
          <w:p w:rsidR="00EB7729" w:rsidRPr="003541D4" w:rsidRDefault="00EB7729" w:rsidP="003A3B01">
            <w:pPr>
              <w:spacing w:after="60" w:line="240" w:lineRule="auto"/>
              <w:contextualSpacing/>
              <w:rPr>
                <w:rFonts w:eastAsia="Times New Roman" w:cs="Times New Roman"/>
                <w:sz w:val="20"/>
                <w:szCs w:val="20"/>
                <w:highlight w:val="yellow"/>
                <w:lang w:val="en-NZ" w:eastAsia="en-NZ"/>
              </w:rPr>
            </w:pPr>
          </w:p>
          <w:p w:rsidR="00EB7729" w:rsidRPr="003541D4" w:rsidRDefault="00EB7729" w:rsidP="003A3B01">
            <w:pPr>
              <w:spacing w:after="60" w:line="240" w:lineRule="auto"/>
              <w:contextualSpacing/>
              <w:rPr>
                <w:rFonts w:eastAsia="Times New Roman" w:cs="Times New Roman"/>
                <w:sz w:val="20"/>
                <w:szCs w:val="20"/>
                <w:highlight w:val="yellow"/>
                <w:lang w:val="en-NZ" w:eastAsia="en-NZ"/>
              </w:rPr>
            </w:pPr>
          </w:p>
          <w:p w:rsidR="00EB7729" w:rsidRPr="003541D4" w:rsidRDefault="00EB7729" w:rsidP="003A3B01">
            <w:pPr>
              <w:spacing w:after="60" w:line="240" w:lineRule="auto"/>
              <w:contextualSpacing/>
              <w:rPr>
                <w:rFonts w:eastAsia="Times New Roman" w:cs="Times New Roman"/>
                <w:sz w:val="20"/>
                <w:szCs w:val="20"/>
                <w:highlight w:val="yellow"/>
                <w:lang w:val="en-NZ" w:eastAsia="en-NZ"/>
              </w:rPr>
            </w:pPr>
          </w:p>
          <w:p w:rsidR="00EB7729" w:rsidRPr="003541D4" w:rsidRDefault="00EB7729" w:rsidP="003A3B01">
            <w:pPr>
              <w:spacing w:after="60" w:line="240" w:lineRule="auto"/>
              <w:contextualSpacing/>
              <w:rPr>
                <w:rFonts w:eastAsia="Times New Roman" w:cs="Times New Roman"/>
                <w:sz w:val="20"/>
                <w:szCs w:val="20"/>
                <w:highlight w:val="yellow"/>
                <w:lang w:val="en-NZ" w:eastAsia="en-NZ"/>
              </w:rPr>
            </w:pPr>
          </w:p>
          <w:p w:rsidR="00EB7729" w:rsidRPr="003541D4" w:rsidRDefault="00EB7729" w:rsidP="003A3B01">
            <w:pPr>
              <w:spacing w:after="60" w:line="240" w:lineRule="auto"/>
              <w:contextualSpacing/>
              <w:rPr>
                <w:rFonts w:eastAsia="Times New Roman" w:cs="Times New Roman"/>
                <w:sz w:val="20"/>
                <w:szCs w:val="20"/>
                <w:highlight w:val="yellow"/>
                <w:lang w:val="en-NZ" w:eastAsia="en-NZ"/>
              </w:rPr>
            </w:pPr>
          </w:p>
          <w:p w:rsidR="00EB7729" w:rsidRPr="003541D4" w:rsidRDefault="00EB7729" w:rsidP="003A3B01">
            <w:pPr>
              <w:spacing w:after="60" w:line="240" w:lineRule="auto"/>
              <w:contextualSpacing/>
              <w:rPr>
                <w:rFonts w:eastAsia="Times New Roman" w:cs="Times New Roman"/>
                <w:sz w:val="20"/>
                <w:szCs w:val="20"/>
                <w:highlight w:val="yellow"/>
                <w:lang w:val="en-NZ" w:eastAsia="en-NZ"/>
              </w:rPr>
            </w:pPr>
          </w:p>
          <w:p w:rsidR="00EB7729" w:rsidRPr="003541D4" w:rsidRDefault="00EB7729" w:rsidP="003A3B01">
            <w:pPr>
              <w:spacing w:after="60" w:line="240" w:lineRule="auto"/>
              <w:contextualSpacing/>
              <w:rPr>
                <w:rFonts w:eastAsia="Times New Roman" w:cs="Times New Roman"/>
                <w:sz w:val="20"/>
                <w:szCs w:val="20"/>
                <w:highlight w:val="yellow"/>
                <w:lang w:val="en-NZ" w:eastAsia="en-NZ"/>
              </w:rPr>
            </w:pPr>
          </w:p>
          <w:p w:rsidR="00EB7729" w:rsidRPr="003541D4" w:rsidRDefault="00EB7729" w:rsidP="003A3B01">
            <w:pPr>
              <w:spacing w:after="60" w:line="240" w:lineRule="auto"/>
              <w:contextualSpacing/>
              <w:rPr>
                <w:rFonts w:eastAsia="Times New Roman" w:cs="Times New Roman"/>
                <w:sz w:val="20"/>
                <w:szCs w:val="20"/>
                <w:highlight w:val="yellow"/>
                <w:lang w:val="en-NZ" w:eastAsia="en-NZ"/>
              </w:rPr>
            </w:pPr>
          </w:p>
          <w:p w:rsidR="00B17BB0" w:rsidRPr="003541D4" w:rsidRDefault="00B17BB0" w:rsidP="003A3B01">
            <w:pPr>
              <w:spacing w:after="60" w:line="240" w:lineRule="auto"/>
              <w:contextualSpacing/>
              <w:rPr>
                <w:rFonts w:eastAsia="Times New Roman" w:cs="Times New Roman"/>
                <w:sz w:val="20"/>
                <w:szCs w:val="20"/>
                <w:highlight w:val="yellow"/>
                <w:lang w:val="en-NZ" w:eastAsia="en-NZ"/>
              </w:rPr>
            </w:pPr>
          </w:p>
          <w:p w:rsidR="00B17BB0" w:rsidRPr="003541D4" w:rsidRDefault="00B17BB0" w:rsidP="003A3B01">
            <w:pPr>
              <w:spacing w:after="60" w:line="240" w:lineRule="auto"/>
              <w:contextualSpacing/>
              <w:rPr>
                <w:rFonts w:eastAsia="Times New Roman" w:cs="Times New Roman"/>
                <w:sz w:val="20"/>
                <w:szCs w:val="20"/>
                <w:highlight w:val="yellow"/>
                <w:lang w:val="en-NZ" w:eastAsia="en-NZ"/>
              </w:rPr>
            </w:pPr>
          </w:p>
          <w:p w:rsidR="00B17BB0" w:rsidRPr="003541D4" w:rsidRDefault="00B17BB0" w:rsidP="003A3B01">
            <w:pPr>
              <w:spacing w:after="60" w:line="240" w:lineRule="auto"/>
              <w:contextualSpacing/>
              <w:rPr>
                <w:rFonts w:eastAsia="Times New Roman" w:cs="Times New Roman"/>
                <w:sz w:val="20"/>
                <w:szCs w:val="20"/>
                <w:highlight w:val="yellow"/>
                <w:lang w:val="en-NZ" w:eastAsia="en-NZ"/>
              </w:rPr>
            </w:pPr>
          </w:p>
          <w:p w:rsidR="00B17BB0" w:rsidRPr="003541D4" w:rsidRDefault="00B17BB0" w:rsidP="003A3B01">
            <w:pPr>
              <w:spacing w:after="60" w:line="240" w:lineRule="auto"/>
              <w:contextualSpacing/>
              <w:rPr>
                <w:rFonts w:eastAsia="Times New Roman" w:cs="Times New Roman"/>
                <w:sz w:val="20"/>
                <w:szCs w:val="20"/>
                <w:highlight w:val="yellow"/>
                <w:lang w:val="en-NZ" w:eastAsia="en-NZ"/>
              </w:rPr>
            </w:pPr>
          </w:p>
          <w:p w:rsidR="00B86F40" w:rsidRPr="003541D4" w:rsidRDefault="00B86F40" w:rsidP="003A3B01">
            <w:pPr>
              <w:spacing w:after="60" w:line="240" w:lineRule="auto"/>
              <w:contextualSpacing/>
              <w:rPr>
                <w:rFonts w:eastAsia="Times New Roman" w:cs="Times New Roman"/>
                <w:sz w:val="20"/>
                <w:szCs w:val="20"/>
                <w:highlight w:val="yellow"/>
                <w:lang w:val="en-NZ" w:eastAsia="en-NZ"/>
              </w:rPr>
            </w:pPr>
          </w:p>
          <w:p w:rsidR="00B86F40" w:rsidRPr="003541D4" w:rsidRDefault="00B86F40" w:rsidP="003A3B01">
            <w:pPr>
              <w:spacing w:after="60" w:line="240" w:lineRule="auto"/>
              <w:contextualSpacing/>
              <w:rPr>
                <w:rFonts w:eastAsia="Times New Roman" w:cs="Times New Roman"/>
                <w:sz w:val="20"/>
                <w:szCs w:val="20"/>
                <w:highlight w:val="yellow"/>
                <w:lang w:val="en-NZ" w:eastAsia="en-NZ"/>
              </w:rPr>
            </w:pPr>
          </w:p>
          <w:p w:rsidR="00B86F40" w:rsidRPr="003541D4" w:rsidRDefault="00B86F40" w:rsidP="003A3B01">
            <w:pPr>
              <w:spacing w:after="60" w:line="240" w:lineRule="auto"/>
              <w:contextualSpacing/>
              <w:rPr>
                <w:rFonts w:eastAsia="Times New Roman" w:cs="Times New Roman"/>
                <w:sz w:val="20"/>
                <w:szCs w:val="20"/>
                <w:highlight w:val="yellow"/>
                <w:lang w:val="en-NZ" w:eastAsia="en-NZ"/>
              </w:rPr>
            </w:pPr>
          </w:p>
          <w:p w:rsidR="00B86F40" w:rsidRPr="003541D4" w:rsidRDefault="00B86F40" w:rsidP="003A3B01">
            <w:pPr>
              <w:spacing w:after="60" w:line="240" w:lineRule="auto"/>
              <w:contextualSpacing/>
              <w:rPr>
                <w:rFonts w:eastAsia="Times New Roman" w:cs="Times New Roman"/>
                <w:sz w:val="20"/>
                <w:szCs w:val="20"/>
                <w:highlight w:val="yellow"/>
                <w:lang w:val="en-NZ" w:eastAsia="en-NZ"/>
              </w:rPr>
            </w:pPr>
          </w:p>
          <w:p w:rsidR="00B86F40" w:rsidRPr="003541D4" w:rsidRDefault="00B86F40" w:rsidP="003A3B01">
            <w:pPr>
              <w:spacing w:after="60" w:line="240" w:lineRule="auto"/>
              <w:contextualSpacing/>
              <w:rPr>
                <w:rFonts w:eastAsia="Times New Roman" w:cs="Times New Roman"/>
                <w:sz w:val="20"/>
                <w:szCs w:val="20"/>
                <w:highlight w:val="yellow"/>
                <w:lang w:val="en-NZ" w:eastAsia="en-NZ"/>
              </w:rPr>
            </w:pPr>
          </w:p>
          <w:p w:rsidR="00B86F40" w:rsidRPr="003541D4" w:rsidRDefault="00B86F40" w:rsidP="003A3B01">
            <w:pPr>
              <w:spacing w:after="60" w:line="240" w:lineRule="auto"/>
              <w:contextualSpacing/>
              <w:rPr>
                <w:rFonts w:eastAsia="Times New Roman" w:cs="Times New Roman"/>
                <w:sz w:val="20"/>
                <w:szCs w:val="20"/>
                <w:highlight w:val="yellow"/>
                <w:lang w:val="en-NZ" w:eastAsia="en-NZ"/>
              </w:rPr>
            </w:pPr>
          </w:p>
          <w:p w:rsidR="00B86F40" w:rsidRPr="003541D4" w:rsidRDefault="00B86F40" w:rsidP="003A3B01">
            <w:pPr>
              <w:spacing w:after="60" w:line="240" w:lineRule="auto"/>
              <w:contextualSpacing/>
              <w:rPr>
                <w:rFonts w:eastAsia="Times New Roman" w:cs="Times New Roman"/>
                <w:sz w:val="20"/>
                <w:szCs w:val="20"/>
                <w:highlight w:val="yellow"/>
                <w:lang w:val="en-NZ" w:eastAsia="en-NZ"/>
              </w:rPr>
            </w:pPr>
          </w:p>
          <w:p w:rsidR="00B86F40" w:rsidRPr="003541D4" w:rsidRDefault="00B86F40" w:rsidP="003A3B01">
            <w:pPr>
              <w:spacing w:after="60" w:line="240" w:lineRule="auto"/>
              <w:contextualSpacing/>
              <w:rPr>
                <w:rFonts w:eastAsia="Times New Roman" w:cs="Times New Roman"/>
                <w:sz w:val="20"/>
                <w:szCs w:val="20"/>
                <w:highlight w:val="yellow"/>
                <w:lang w:val="en-NZ" w:eastAsia="en-NZ"/>
              </w:rPr>
            </w:pPr>
          </w:p>
          <w:p w:rsidR="00B86F40" w:rsidRPr="003541D4" w:rsidRDefault="00B86F40" w:rsidP="003A3B01">
            <w:pPr>
              <w:spacing w:after="60" w:line="240" w:lineRule="auto"/>
              <w:contextualSpacing/>
              <w:rPr>
                <w:rFonts w:eastAsia="Times New Roman" w:cs="Times New Roman"/>
                <w:sz w:val="20"/>
                <w:szCs w:val="20"/>
                <w:highlight w:val="yellow"/>
                <w:lang w:val="en-NZ" w:eastAsia="en-NZ"/>
              </w:rPr>
            </w:pPr>
          </w:p>
          <w:p w:rsidR="00B86F40" w:rsidRPr="003541D4" w:rsidRDefault="00B86F40" w:rsidP="003A3B01">
            <w:pPr>
              <w:spacing w:after="60" w:line="240" w:lineRule="auto"/>
              <w:contextualSpacing/>
              <w:rPr>
                <w:rFonts w:eastAsia="Times New Roman" w:cs="Times New Roman"/>
                <w:sz w:val="20"/>
                <w:szCs w:val="20"/>
                <w:highlight w:val="yellow"/>
                <w:lang w:val="en-NZ" w:eastAsia="en-NZ"/>
              </w:rPr>
            </w:pPr>
          </w:p>
          <w:p w:rsidR="00B86F40" w:rsidRPr="003541D4" w:rsidRDefault="00B86F40" w:rsidP="003A3B01">
            <w:pPr>
              <w:spacing w:after="60" w:line="240" w:lineRule="auto"/>
              <w:contextualSpacing/>
              <w:rPr>
                <w:rFonts w:eastAsia="Times New Roman" w:cs="Times New Roman"/>
                <w:sz w:val="20"/>
                <w:szCs w:val="20"/>
                <w:highlight w:val="yellow"/>
                <w:lang w:val="en-NZ" w:eastAsia="en-NZ"/>
              </w:rPr>
            </w:pPr>
          </w:p>
          <w:p w:rsidR="00B86F40" w:rsidRPr="003541D4" w:rsidRDefault="00B86F40" w:rsidP="003A3B01">
            <w:pPr>
              <w:spacing w:after="60" w:line="240" w:lineRule="auto"/>
              <w:contextualSpacing/>
              <w:rPr>
                <w:rFonts w:eastAsia="Times New Roman" w:cs="Times New Roman"/>
                <w:sz w:val="20"/>
                <w:szCs w:val="20"/>
                <w:highlight w:val="yellow"/>
                <w:lang w:val="en-NZ" w:eastAsia="en-NZ"/>
              </w:rPr>
            </w:pPr>
          </w:p>
          <w:p w:rsidR="00B86F40" w:rsidRPr="003541D4" w:rsidRDefault="00B86F40" w:rsidP="003A3B01">
            <w:pPr>
              <w:spacing w:after="60" w:line="240" w:lineRule="auto"/>
              <w:contextualSpacing/>
              <w:rPr>
                <w:rFonts w:eastAsia="Times New Roman" w:cs="Times New Roman"/>
                <w:sz w:val="20"/>
                <w:szCs w:val="20"/>
                <w:highlight w:val="yellow"/>
                <w:lang w:val="en-NZ" w:eastAsia="en-NZ"/>
              </w:rPr>
            </w:pP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6D023A" w:rsidRPr="00C11F1C" w:rsidRDefault="00071BA1" w:rsidP="003A3B01">
            <w:pPr>
              <w:pStyle w:val="ListParagraph"/>
              <w:spacing w:after="0" w:line="240" w:lineRule="auto"/>
              <w:ind w:left="143"/>
              <w:contextualSpacing w:val="0"/>
              <w:rPr>
                <w:rFonts w:eastAsia="Times New Roman"/>
                <w:sz w:val="20"/>
                <w:szCs w:val="20"/>
              </w:rPr>
            </w:pPr>
            <w:r w:rsidRPr="00C11F1C">
              <w:rPr>
                <w:rFonts w:eastAsia="Times New Roman"/>
                <w:sz w:val="20"/>
                <w:szCs w:val="20"/>
              </w:rPr>
              <w:lastRenderedPageBreak/>
              <w:t>1.</w:t>
            </w:r>
            <w:r w:rsidR="00031B16" w:rsidRPr="00C11F1C">
              <w:rPr>
                <w:rFonts w:eastAsia="Times New Roman"/>
                <w:sz w:val="20"/>
                <w:szCs w:val="20"/>
              </w:rPr>
              <w:t>N/A</w:t>
            </w:r>
          </w:p>
          <w:p w:rsidR="00B86F40" w:rsidRPr="00C11F1C" w:rsidRDefault="00071BA1" w:rsidP="003A3B01">
            <w:pPr>
              <w:pStyle w:val="ListParagraph"/>
              <w:spacing w:after="0" w:line="240" w:lineRule="auto"/>
              <w:ind w:left="143"/>
              <w:contextualSpacing w:val="0"/>
              <w:rPr>
                <w:rFonts w:eastAsia="Times New Roman" w:cs="Times New Roman"/>
                <w:sz w:val="20"/>
                <w:szCs w:val="20"/>
              </w:rPr>
            </w:pPr>
            <w:r w:rsidRPr="00C11F1C">
              <w:rPr>
                <w:rFonts w:eastAsia="Times New Roman"/>
                <w:sz w:val="20"/>
                <w:szCs w:val="20"/>
              </w:rPr>
              <w:t>2.</w:t>
            </w:r>
            <w:r w:rsidR="00031B16" w:rsidRPr="00C11F1C">
              <w:rPr>
                <w:rFonts w:eastAsia="Times New Roman"/>
                <w:sz w:val="20"/>
                <w:szCs w:val="20"/>
              </w:rPr>
              <w:t>N/A</w:t>
            </w:r>
          </w:p>
          <w:p w:rsidR="00B17BB0" w:rsidRPr="00C11F1C" w:rsidRDefault="00B17BB0" w:rsidP="003A3B0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NZ" w:eastAsia="en-NZ"/>
              </w:rPr>
            </w:pPr>
          </w:p>
          <w:p w:rsidR="00EB7729" w:rsidRPr="00C11F1C" w:rsidRDefault="00EB7729" w:rsidP="003A3B0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NZ" w:eastAsia="en-NZ"/>
              </w:rPr>
            </w:pPr>
          </w:p>
          <w:p w:rsidR="00EB7729" w:rsidRPr="00C11F1C" w:rsidRDefault="00EB7729" w:rsidP="003A3B0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NZ" w:eastAsia="en-NZ"/>
              </w:rPr>
            </w:pPr>
          </w:p>
          <w:p w:rsidR="00EB7729" w:rsidRPr="00C11F1C" w:rsidRDefault="00EB7729" w:rsidP="003A3B0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NZ" w:eastAsia="en-NZ"/>
              </w:rPr>
            </w:pPr>
          </w:p>
          <w:p w:rsidR="00EB7729" w:rsidRPr="00C11F1C" w:rsidRDefault="00EB7729" w:rsidP="003A3B0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NZ" w:eastAsia="en-NZ"/>
              </w:rPr>
            </w:pPr>
          </w:p>
          <w:p w:rsidR="00EB7729" w:rsidRPr="00C11F1C" w:rsidRDefault="00EB7729" w:rsidP="003A3B0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NZ" w:eastAsia="en-NZ"/>
              </w:rPr>
            </w:pPr>
          </w:p>
          <w:p w:rsidR="00EB7729" w:rsidRPr="00C11F1C" w:rsidRDefault="00EB7729" w:rsidP="003A3B0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NZ" w:eastAsia="en-NZ"/>
              </w:rPr>
            </w:pPr>
          </w:p>
          <w:p w:rsidR="00EB7729" w:rsidRPr="00C11F1C" w:rsidRDefault="00EB7729" w:rsidP="003A3B0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NZ" w:eastAsia="en-NZ"/>
              </w:rPr>
            </w:pPr>
          </w:p>
          <w:p w:rsidR="00B17BB0" w:rsidRPr="00C11F1C" w:rsidRDefault="00B17BB0" w:rsidP="003A3B0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NZ" w:eastAsia="en-NZ"/>
              </w:rPr>
            </w:pPr>
          </w:p>
          <w:p w:rsidR="00B17BB0" w:rsidRPr="00C11F1C" w:rsidRDefault="00B17BB0" w:rsidP="003A3B0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NZ" w:eastAsia="en-NZ"/>
              </w:rPr>
            </w:pPr>
          </w:p>
          <w:p w:rsidR="00B17BB0" w:rsidRPr="00C11F1C" w:rsidRDefault="00B17BB0" w:rsidP="003A3B0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NZ" w:eastAsia="en-NZ"/>
              </w:rPr>
            </w:pPr>
          </w:p>
          <w:p w:rsidR="00B86F40" w:rsidRPr="00C11F1C" w:rsidRDefault="00B86F40" w:rsidP="003A3B0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NZ" w:eastAsia="en-NZ"/>
              </w:rPr>
            </w:pPr>
          </w:p>
          <w:p w:rsidR="00B86F40" w:rsidRPr="00C11F1C" w:rsidRDefault="00B86F40" w:rsidP="003A3B0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NZ" w:eastAsia="en-NZ"/>
              </w:rPr>
            </w:pPr>
          </w:p>
          <w:p w:rsidR="00B86F40" w:rsidRPr="00C11F1C" w:rsidRDefault="00B86F40" w:rsidP="003A3B0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NZ" w:eastAsia="en-NZ"/>
              </w:rPr>
            </w:pPr>
          </w:p>
          <w:p w:rsidR="00B86F40" w:rsidRPr="00C11F1C" w:rsidRDefault="00B86F40" w:rsidP="003A3B0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NZ" w:eastAsia="en-NZ"/>
              </w:rPr>
            </w:pPr>
          </w:p>
          <w:p w:rsidR="00B86F40" w:rsidRPr="00C11F1C" w:rsidRDefault="00B86F40" w:rsidP="003A3B0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NZ" w:eastAsia="en-NZ"/>
              </w:rPr>
            </w:pPr>
          </w:p>
          <w:p w:rsidR="00B86F40" w:rsidRPr="00C11F1C" w:rsidRDefault="00B86F40" w:rsidP="003A3B0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NZ" w:eastAsia="en-NZ"/>
              </w:rPr>
            </w:pPr>
          </w:p>
          <w:p w:rsidR="00B86F40" w:rsidRPr="00C11F1C" w:rsidRDefault="00B86F40" w:rsidP="003A3B0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NZ" w:eastAsia="en-NZ"/>
              </w:rPr>
            </w:pPr>
          </w:p>
          <w:p w:rsidR="00B86F40" w:rsidRPr="00C11F1C" w:rsidRDefault="00B86F40" w:rsidP="003A3B0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NZ" w:eastAsia="en-NZ"/>
              </w:rPr>
            </w:pPr>
          </w:p>
          <w:p w:rsidR="00B86F40" w:rsidRPr="00C11F1C" w:rsidRDefault="00B86F40" w:rsidP="003A3B0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NZ" w:eastAsia="en-NZ"/>
              </w:rPr>
            </w:pPr>
          </w:p>
          <w:p w:rsidR="00B86F40" w:rsidRPr="00C11F1C" w:rsidRDefault="00B86F40" w:rsidP="003A3B0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NZ" w:eastAsia="en-NZ"/>
              </w:rPr>
            </w:pPr>
          </w:p>
          <w:p w:rsidR="00B86F40" w:rsidRPr="00C11F1C" w:rsidRDefault="00B86F40" w:rsidP="003A3B0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NZ" w:eastAsia="en-NZ"/>
              </w:rPr>
            </w:pPr>
          </w:p>
          <w:p w:rsidR="00B86F40" w:rsidRPr="00C11F1C" w:rsidRDefault="00B86F40" w:rsidP="003A3B0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NZ" w:eastAsia="en-NZ"/>
              </w:rPr>
            </w:pPr>
          </w:p>
          <w:p w:rsidR="00B86F40" w:rsidRPr="00C11F1C" w:rsidRDefault="00B86F40" w:rsidP="003A3B0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NZ" w:eastAsia="en-NZ"/>
              </w:rPr>
            </w:pPr>
          </w:p>
          <w:p w:rsidR="00B86F40" w:rsidRPr="00C11F1C" w:rsidRDefault="00B86F40" w:rsidP="003A3B0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NZ" w:eastAsia="en-NZ"/>
              </w:rPr>
            </w:pPr>
          </w:p>
        </w:tc>
        <w:tc>
          <w:tcPr>
            <w:tcW w:w="1134" w:type="dxa"/>
            <w:vMerge w:val="restart"/>
            <w:shd w:val="clear" w:color="auto" w:fill="auto"/>
            <w:noWrap/>
            <w:hideMark/>
          </w:tcPr>
          <w:p w:rsidR="006D023A" w:rsidRPr="00C11F1C" w:rsidRDefault="00071BA1" w:rsidP="003A3B01">
            <w:pPr>
              <w:pStyle w:val="ListParagraph"/>
              <w:tabs>
                <w:tab w:val="left" w:pos="143"/>
              </w:tabs>
              <w:spacing w:after="0" w:line="240" w:lineRule="auto"/>
              <w:ind w:left="1"/>
              <w:contextualSpacing w:val="0"/>
              <w:rPr>
                <w:rFonts w:eastAsia="Times New Roman"/>
                <w:sz w:val="20"/>
                <w:szCs w:val="20"/>
              </w:rPr>
            </w:pPr>
            <w:r w:rsidRPr="00C11F1C">
              <w:rPr>
                <w:rFonts w:eastAsia="Times New Roman"/>
                <w:sz w:val="20"/>
                <w:szCs w:val="20"/>
              </w:rPr>
              <w:lastRenderedPageBreak/>
              <w:t>1.</w:t>
            </w:r>
            <w:r w:rsidR="00031B16" w:rsidRPr="00C11F1C">
              <w:rPr>
                <w:rFonts w:eastAsia="Times New Roman"/>
                <w:sz w:val="20"/>
                <w:szCs w:val="20"/>
              </w:rPr>
              <w:t>N/A</w:t>
            </w:r>
          </w:p>
          <w:p w:rsidR="00EB7729" w:rsidRPr="00C11F1C" w:rsidRDefault="00071BA1" w:rsidP="003A3B01">
            <w:pPr>
              <w:pStyle w:val="ListParagraph"/>
              <w:tabs>
                <w:tab w:val="left" w:pos="143"/>
              </w:tabs>
              <w:spacing w:after="0" w:line="240" w:lineRule="auto"/>
              <w:ind w:left="1"/>
              <w:contextualSpacing w:val="0"/>
              <w:rPr>
                <w:rFonts w:eastAsia="Times New Roman"/>
                <w:sz w:val="20"/>
                <w:szCs w:val="20"/>
              </w:rPr>
            </w:pPr>
            <w:r w:rsidRPr="00C11F1C">
              <w:rPr>
                <w:rFonts w:eastAsia="Times New Roman"/>
                <w:sz w:val="20"/>
                <w:szCs w:val="20"/>
              </w:rPr>
              <w:t>2.</w:t>
            </w:r>
            <w:r w:rsidR="00031B16" w:rsidRPr="00C11F1C">
              <w:rPr>
                <w:rFonts w:eastAsia="Times New Roman"/>
                <w:sz w:val="20"/>
                <w:szCs w:val="20"/>
              </w:rPr>
              <w:t>N/A</w:t>
            </w:r>
          </w:p>
          <w:p w:rsidR="00EB7729" w:rsidRPr="00C11F1C" w:rsidRDefault="00EB7729" w:rsidP="003A3B01">
            <w:pPr>
              <w:pStyle w:val="ListParagraph"/>
              <w:tabs>
                <w:tab w:val="left" w:pos="143"/>
              </w:tabs>
              <w:spacing w:after="0" w:line="240" w:lineRule="auto"/>
              <w:ind w:left="1"/>
              <w:contextualSpacing w:val="0"/>
              <w:rPr>
                <w:rFonts w:eastAsia="Times New Roman"/>
                <w:sz w:val="20"/>
                <w:szCs w:val="20"/>
              </w:rPr>
            </w:pPr>
          </w:p>
          <w:p w:rsidR="00EB7729" w:rsidRPr="00C11F1C" w:rsidRDefault="00EB7729" w:rsidP="003A3B01">
            <w:pPr>
              <w:pStyle w:val="ListParagraph"/>
              <w:tabs>
                <w:tab w:val="left" w:pos="143"/>
              </w:tabs>
              <w:spacing w:after="0" w:line="240" w:lineRule="auto"/>
              <w:ind w:left="1"/>
              <w:contextualSpacing w:val="0"/>
              <w:rPr>
                <w:rFonts w:eastAsia="Times New Roman"/>
                <w:sz w:val="20"/>
                <w:szCs w:val="20"/>
              </w:rPr>
            </w:pPr>
          </w:p>
          <w:p w:rsidR="00EB7729" w:rsidRPr="00C11F1C" w:rsidRDefault="00EB7729" w:rsidP="003A3B01">
            <w:pPr>
              <w:pStyle w:val="ListParagraph"/>
              <w:tabs>
                <w:tab w:val="left" w:pos="143"/>
              </w:tabs>
              <w:spacing w:after="0" w:line="240" w:lineRule="auto"/>
              <w:ind w:left="1"/>
              <w:contextualSpacing w:val="0"/>
              <w:rPr>
                <w:rFonts w:eastAsia="Times New Roman"/>
                <w:sz w:val="20"/>
                <w:szCs w:val="20"/>
              </w:rPr>
            </w:pPr>
          </w:p>
          <w:p w:rsidR="00EB7729" w:rsidRPr="00C11F1C" w:rsidRDefault="00EB7729" w:rsidP="003A3B01">
            <w:pPr>
              <w:pStyle w:val="ListParagraph"/>
              <w:tabs>
                <w:tab w:val="left" w:pos="143"/>
              </w:tabs>
              <w:spacing w:after="0" w:line="240" w:lineRule="auto"/>
              <w:ind w:left="1"/>
              <w:contextualSpacing w:val="0"/>
              <w:rPr>
                <w:rFonts w:eastAsia="Times New Roman"/>
                <w:sz w:val="20"/>
                <w:szCs w:val="20"/>
              </w:rPr>
            </w:pPr>
          </w:p>
          <w:p w:rsidR="00EB7729" w:rsidRPr="00C11F1C" w:rsidRDefault="00EB7729" w:rsidP="003A3B01">
            <w:pPr>
              <w:pStyle w:val="ListParagraph"/>
              <w:tabs>
                <w:tab w:val="left" w:pos="143"/>
              </w:tabs>
              <w:spacing w:after="0" w:line="240" w:lineRule="auto"/>
              <w:ind w:left="1"/>
              <w:contextualSpacing w:val="0"/>
              <w:rPr>
                <w:rFonts w:eastAsia="Times New Roman"/>
                <w:sz w:val="20"/>
                <w:szCs w:val="20"/>
              </w:rPr>
            </w:pPr>
          </w:p>
          <w:p w:rsidR="00EB7729" w:rsidRPr="00C11F1C" w:rsidRDefault="00EB7729" w:rsidP="003A3B01">
            <w:pPr>
              <w:pStyle w:val="ListParagraph"/>
              <w:tabs>
                <w:tab w:val="left" w:pos="143"/>
              </w:tabs>
              <w:spacing w:after="0" w:line="240" w:lineRule="auto"/>
              <w:ind w:left="1"/>
              <w:contextualSpacing w:val="0"/>
              <w:rPr>
                <w:rFonts w:eastAsia="Times New Roman"/>
                <w:sz w:val="20"/>
                <w:szCs w:val="20"/>
              </w:rPr>
            </w:pPr>
          </w:p>
          <w:p w:rsidR="00EB7729" w:rsidRPr="00C11F1C" w:rsidRDefault="00EB7729" w:rsidP="003A3B01">
            <w:pPr>
              <w:pStyle w:val="ListParagraph"/>
              <w:tabs>
                <w:tab w:val="left" w:pos="143"/>
              </w:tabs>
              <w:spacing w:after="0" w:line="240" w:lineRule="auto"/>
              <w:ind w:left="1"/>
              <w:contextualSpacing w:val="0"/>
              <w:rPr>
                <w:rFonts w:eastAsia="Times New Roman"/>
                <w:sz w:val="20"/>
                <w:szCs w:val="20"/>
              </w:rPr>
            </w:pPr>
          </w:p>
          <w:p w:rsidR="00EB7729" w:rsidRPr="00C11F1C" w:rsidRDefault="00EB7729" w:rsidP="003A3B01">
            <w:pPr>
              <w:pStyle w:val="ListParagraph"/>
              <w:tabs>
                <w:tab w:val="left" w:pos="143"/>
              </w:tabs>
              <w:spacing w:after="0" w:line="240" w:lineRule="auto"/>
              <w:ind w:left="1"/>
              <w:contextualSpacing w:val="0"/>
              <w:rPr>
                <w:rFonts w:eastAsia="Times New Roman"/>
                <w:sz w:val="20"/>
                <w:szCs w:val="20"/>
              </w:rPr>
            </w:pPr>
          </w:p>
          <w:p w:rsidR="00EB7729" w:rsidRPr="00C11F1C" w:rsidRDefault="00EB7729" w:rsidP="003A3B01">
            <w:pPr>
              <w:pStyle w:val="ListParagraph"/>
              <w:tabs>
                <w:tab w:val="left" w:pos="143"/>
              </w:tabs>
              <w:spacing w:after="0" w:line="240" w:lineRule="auto"/>
              <w:ind w:left="1"/>
              <w:contextualSpacing w:val="0"/>
              <w:rPr>
                <w:rFonts w:eastAsia="Times New Roman"/>
                <w:sz w:val="20"/>
                <w:szCs w:val="20"/>
              </w:rPr>
            </w:pPr>
          </w:p>
          <w:p w:rsidR="00B86F40" w:rsidRPr="00C11F1C" w:rsidRDefault="00B86F40" w:rsidP="003A3B01">
            <w:pPr>
              <w:pStyle w:val="ListParagraph"/>
              <w:tabs>
                <w:tab w:val="left" w:pos="143"/>
              </w:tabs>
              <w:spacing w:after="0" w:line="240" w:lineRule="auto"/>
              <w:ind w:left="1"/>
              <w:contextualSpacing w:val="0"/>
              <w:rPr>
                <w:rFonts w:eastAsia="Times New Roman"/>
                <w:sz w:val="20"/>
                <w:szCs w:val="20"/>
              </w:rPr>
            </w:pPr>
          </w:p>
          <w:p w:rsidR="00B86F40" w:rsidRPr="00C11F1C" w:rsidRDefault="00B86F40" w:rsidP="003A3B01">
            <w:pPr>
              <w:pStyle w:val="ListParagraph"/>
              <w:tabs>
                <w:tab w:val="left" w:pos="143"/>
              </w:tabs>
              <w:spacing w:after="0" w:line="240" w:lineRule="auto"/>
              <w:ind w:left="1"/>
              <w:contextualSpacing w:val="0"/>
              <w:rPr>
                <w:rFonts w:eastAsia="Times New Roman"/>
                <w:sz w:val="20"/>
                <w:szCs w:val="20"/>
              </w:rPr>
            </w:pPr>
          </w:p>
          <w:p w:rsidR="00B17BB0" w:rsidRPr="00C11F1C" w:rsidRDefault="00B17BB0" w:rsidP="003A3B01">
            <w:pPr>
              <w:pStyle w:val="ListParagraph"/>
              <w:tabs>
                <w:tab w:val="left" w:pos="143"/>
              </w:tabs>
              <w:spacing w:after="0" w:line="240" w:lineRule="auto"/>
              <w:ind w:left="1"/>
              <w:contextualSpacing w:val="0"/>
              <w:rPr>
                <w:rFonts w:eastAsia="Times New Roman"/>
                <w:sz w:val="20"/>
                <w:szCs w:val="20"/>
              </w:rPr>
            </w:pPr>
          </w:p>
          <w:p w:rsidR="00B17BB0" w:rsidRPr="00C11F1C" w:rsidRDefault="00B17BB0" w:rsidP="003A3B01">
            <w:pPr>
              <w:pStyle w:val="ListParagraph"/>
              <w:tabs>
                <w:tab w:val="left" w:pos="143"/>
              </w:tabs>
              <w:spacing w:after="0" w:line="240" w:lineRule="auto"/>
              <w:ind w:left="1"/>
              <w:contextualSpacing w:val="0"/>
              <w:rPr>
                <w:rFonts w:eastAsia="Times New Roman"/>
                <w:sz w:val="20"/>
                <w:szCs w:val="20"/>
              </w:rPr>
            </w:pPr>
          </w:p>
          <w:p w:rsidR="00B86F40" w:rsidRPr="00C11F1C" w:rsidRDefault="00B86F40" w:rsidP="003A3B01">
            <w:pPr>
              <w:pStyle w:val="ListParagraph"/>
              <w:tabs>
                <w:tab w:val="left" w:pos="143"/>
              </w:tabs>
              <w:spacing w:after="0" w:line="240" w:lineRule="auto"/>
              <w:ind w:left="1"/>
              <w:contextualSpacing w:val="0"/>
              <w:rPr>
                <w:rFonts w:eastAsia="Times New Roman"/>
                <w:sz w:val="20"/>
                <w:szCs w:val="20"/>
              </w:rPr>
            </w:pPr>
          </w:p>
          <w:p w:rsidR="00B86F40" w:rsidRPr="00C11F1C" w:rsidRDefault="00B86F40" w:rsidP="003A3B01">
            <w:pPr>
              <w:pStyle w:val="ListParagraph"/>
              <w:tabs>
                <w:tab w:val="left" w:pos="143"/>
              </w:tabs>
              <w:spacing w:after="0" w:line="240" w:lineRule="auto"/>
              <w:ind w:left="1"/>
              <w:contextualSpacing w:val="0"/>
              <w:rPr>
                <w:rFonts w:eastAsia="Times New Roman"/>
                <w:sz w:val="20"/>
                <w:szCs w:val="20"/>
              </w:rPr>
            </w:pPr>
          </w:p>
          <w:p w:rsidR="00B86F40" w:rsidRPr="00C11F1C" w:rsidRDefault="00B86F40" w:rsidP="003A3B01">
            <w:pPr>
              <w:pStyle w:val="ListParagraph"/>
              <w:tabs>
                <w:tab w:val="left" w:pos="143"/>
              </w:tabs>
              <w:spacing w:after="0" w:line="240" w:lineRule="auto"/>
              <w:ind w:left="1"/>
              <w:contextualSpacing w:val="0"/>
              <w:rPr>
                <w:rFonts w:eastAsia="Times New Roman"/>
                <w:sz w:val="20"/>
                <w:szCs w:val="20"/>
              </w:rPr>
            </w:pPr>
          </w:p>
          <w:p w:rsidR="00B86F40" w:rsidRPr="00C11F1C" w:rsidRDefault="00B86F40" w:rsidP="003A3B01">
            <w:pPr>
              <w:pStyle w:val="ListParagraph"/>
              <w:tabs>
                <w:tab w:val="left" w:pos="143"/>
              </w:tabs>
              <w:spacing w:after="0" w:line="240" w:lineRule="auto"/>
              <w:ind w:left="1"/>
              <w:contextualSpacing w:val="0"/>
              <w:rPr>
                <w:rFonts w:eastAsia="Times New Roman"/>
                <w:sz w:val="20"/>
                <w:szCs w:val="20"/>
              </w:rPr>
            </w:pPr>
          </w:p>
          <w:p w:rsidR="00B86F40" w:rsidRPr="00C11F1C" w:rsidRDefault="00B86F40" w:rsidP="003A3B01">
            <w:pPr>
              <w:pStyle w:val="ListParagraph"/>
              <w:tabs>
                <w:tab w:val="left" w:pos="143"/>
              </w:tabs>
              <w:spacing w:after="0" w:line="240" w:lineRule="auto"/>
              <w:ind w:left="1"/>
              <w:contextualSpacing w:val="0"/>
              <w:rPr>
                <w:rFonts w:eastAsia="Times New Roman"/>
                <w:sz w:val="20"/>
                <w:szCs w:val="20"/>
              </w:rPr>
            </w:pPr>
          </w:p>
          <w:p w:rsidR="00B86F40" w:rsidRPr="00C11F1C" w:rsidRDefault="00B86F40" w:rsidP="003A3B01">
            <w:pPr>
              <w:pStyle w:val="ListParagraph"/>
              <w:tabs>
                <w:tab w:val="left" w:pos="143"/>
              </w:tabs>
              <w:spacing w:after="0" w:line="240" w:lineRule="auto"/>
              <w:ind w:left="1"/>
              <w:contextualSpacing w:val="0"/>
              <w:rPr>
                <w:rFonts w:eastAsia="Times New Roman"/>
                <w:sz w:val="20"/>
                <w:szCs w:val="20"/>
              </w:rPr>
            </w:pPr>
          </w:p>
          <w:p w:rsidR="00B86F40" w:rsidRPr="00C11F1C" w:rsidRDefault="00B86F40" w:rsidP="003A3B01">
            <w:pPr>
              <w:tabs>
                <w:tab w:val="left" w:pos="143"/>
              </w:tabs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B86F40" w:rsidRPr="00C11F1C" w:rsidRDefault="00B86F40" w:rsidP="003A3B01">
            <w:pPr>
              <w:pStyle w:val="ListParagraph"/>
              <w:tabs>
                <w:tab w:val="left" w:pos="143"/>
              </w:tabs>
              <w:spacing w:after="0" w:line="240" w:lineRule="auto"/>
              <w:ind w:left="1"/>
              <w:contextualSpacing w:val="0"/>
              <w:rPr>
                <w:rFonts w:eastAsia="Times New Roman"/>
                <w:sz w:val="20"/>
                <w:szCs w:val="20"/>
              </w:rPr>
            </w:pPr>
          </w:p>
          <w:p w:rsidR="00B86F40" w:rsidRPr="00C11F1C" w:rsidRDefault="00B86F40" w:rsidP="003A3B01">
            <w:pPr>
              <w:pStyle w:val="ListParagraph"/>
              <w:tabs>
                <w:tab w:val="left" w:pos="143"/>
              </w:tabs>
              <w:spacing w:after="0" w:line="240" w:lineRule="auto"/>
              <w:ind w:left="1"/>
              <w:contextualSpacing w:val="0"/>
              <w:rPr>
                <w:rFonts w:eastAsia="Times New Roman"/>
                <w:sz w:val="20"/>
                <w:szCs w:val="20"/>
              </w:rPr>
            </w:pPr>
          </w:p>
          <w:p w:rsidR="00B86F40" w:rsidRPr="00C11F1C" w:rsidRDefault="00B86F40" w:rsidP="003A3B01">
            <w:pPr>
              <w:tabs>
                <w:tab w:val="left" w:pos="143"/>
              </w:tabs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B86F40" w:rsidRPr="00C11F1C" w:rsidRDefault="00B86F40" w:rsidP="003A3B01">
            <w:pPr>
              <w:pStyle w:val="ListParagraph"/>
              <w:tabs>
                <w:tab w:val="left" w:pos="143"/>
              </w:tabs>
              <w:spacing w:after="0" w:line="240" w:lineRule="auto"/>
              <w:ind w:left="1"/>
              <w:contextualSpacing w:val="0"/>
              <w:rPr>
                <w:rFonts w:eastAsia="Times New Roman"/>
                <w:sz w:val="20"/>
                <w:szCs w:val="20"/>
              </w:rPr>
            </w:pPr>
          </w:p>
          <w:p w:rsidR="00071BA1" w:rsidRPr="00C11F1C" w:rsidRDefault="00071BA1" w:rsidP="003A3B01">
            <w:pPr>
              <w:tabs>
                <w:tab w:val="left" w:pos="143"/>
              </w:tabs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D023A" w:rsidRPr="00972CA1" w:rsidTr="003A3B01">
        <w:trPr>
          <w:trHeight w:val="245"/>
        </w:trPr>
        <w:tc>
          <w:tcPr>
            <w:tcW w:w="1276" w:type="dxa"/>
            <w:vMerge/>
            <w:vAlign w:val="center"/>
            <w:hideMark/>
          </w:tcPr>
          <w:p w:rsidR="006D023A" w:rsidRPr="00972CA1" w:rsidRDefault="006D023A" w:rsidP="00877BF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val="en-NZ" w:eastAsia="en-NZ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6D023A" w:rsidRPr="00972CA1" w:rsidRDefault="006D023A" w:rsidP="00877BF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val="en-NZ" w:eastAsia="en-NZ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DB71C4" w:rsidRDefault="003D688A" w:rsidP="003A3B0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val="en-NZ" w:eastAsia="en-NZ"/>
              </w:rPr>
            </w:pPr>
            <w:r w:rsidRPr="00071BA1">
              <w:rPr>
                <w:rFonts w:ascii="Calibri" w:eastAsia="Times New Roman" w:hAnsi="Calibri" w:cs="Times New Roman"/>
                <w:bCs/>
                <w:sz w:val="20"/>
                <w:szCs w:val="20"/>
                <w:lang w:val="en-NZ" w:eastAsia="en-NZ"/>
              </w:rPr>
              <w:t xml:space="preserve">The </w:t>
            </w:r>
            <w:r w:rsidR="00747170">
              <w:rPr>
                <w:rFonts w:ascii="Calibri" w:eastAsia="Times New Roman" w:hAnsi="Calibri" w:cs="Times New Roman"/>
                <w:bCs/>
                <w:sz w:val="20"/>
                <w:szCs w:val="20"/>
                <w:lang w:val="en-NZ" w:eastAsia="en-NZ"/>
              </w:rPr>
              <w:t>EO</w:t>
            </w:r>
            <w:r w:rsidRPr="00071BA1">
              <w:rPr>
                <w:rFonts w:ascii="Calibri" w:eastAsia="Times New Roman" w:hAnsi="Calibri" w:cs="Times New Roman"/>
                <w:bCs/>
                <w:sz w:val="20"/>
                <w:szCs w:val="20"/>
                <w:lang w:val="en-NZ" w:eastAsia="en-NZ"/>
              </w:rPr>
              <w:t xml:space="preserve"> </w:t>
            </w:r>
            <w:r w:rsidR="00C91C79" w:rsidRPr="00071BA1">
              <w:rPr>
                <w:rFonts w:ascii="Calibri" w:eastAsia="Times New Roman" w:hAnsi="Calibri" w:cs="Times New Roman"/>
                <w:bCs/>
                <w:sz w:val="20"/>
                <w:szCs w:val="20"/>
                <w:lang w:val="en-NZ" w:eastAsia="en-NZ"/>
              </w:rPr>
              <w:t>delivers</w:t>
            </w:r>
            <w:r w:rsidRPr="00071BA1">
              <w:rPr>
                <w:rFonts w:ascii="Calibri" w:eastAsia="Times New Roman" w:hAnsi="Calibri" w:cs="Times New Roman"/>
                <w:bCs/>
                <w:sz w:val="20"/>
                <w:szCs w:val="20"/>
                <w:lang w:val="en-NZ" w:eastAsia="en-NZ"/>
              </w:rPr>
              <w:t xml:space="preserve"> support for </w:t>
            </w:r>
            <w:r w:rsidR="00882FA0" w:rsidRPr="00071BA1">
              <w:rPr>
                <w:rFonts w:ascii="Calibri" w:eastAsia="Times New Roman" w:hAnsi="Calibri" w:cs="Times New Roman"/>
                <w:bCs/>
                <w:sz w:val="20"/>
                <w:szCs w:val="20"/>
                <w:lang w:val="en-NZ" w:eastAsia="en-NZ"/>
              </w:rPr>
              <w:t>Māori</w:t>
            </w:r>
            <w:r w:rsidR="00EB7729">
              <w:rPr>
                <w:rFonts w:ascii="Calibri" w:eastAsia="Times New Roman" w:hAnsi="Calibri" w:cs="Times New Roman"/>
                <w:bCs/>
                <w:sz w:val="20"/>
                <w:szCs w:val="20"/>
                <w:lang w:val="en-NZ" w:eastAsia="en-NZ"/>
              </w:rPr>
              <w:t xml:space="preserve"> and Pacific students’ </w:t>
            </w:r>
            <w:r w:rsidR="00121A0B" w:rsidRPr="00071BA1">
              <w:rPr>
                <w:rFonts w:ascii="Calibri" w:eastAsia="Times New Roman" w:hAnsi="Calibri" w:cs="Times New Roman"/>
                <w:bCs/>
                <w:sz w:val="20"/>
                <w:szCs w:val="20"/>
                <w:lang w:val="en-NZ" w:eastAsia="en-NZ"/>
              </w:rPr>
              <w:t xml:space="preserve">retention and success at the </w:t>
            </w:r>
            <w:r w:rsidR="00795981">
              <w:rPr>
                <w:rFonts w:ascii="Calibri" w:eastAsia="Times New Roman" w:hAnsi="Calibri" w:cs="Times New Roman"/>
                <w:bCs/>
                <w:sz w:val="20"/>
                <w:szCs w:val="20"/>
                <w:lang w:val="en-NZ" w:eastAsia="en-NZ"/>
              </w:rPr>
              <w:t>University</w:t>
            </w:r>
            <w:r w:rsidR="00121A0B" w:rsidRPr="00071BA1">
              <w:rPr>
                <w:rFonts w:ascii="Calibri" w:eastAsia="Times New Roman" w:hAnsi="Calibri" w:cs="Times New Roman"/>
                <w:bCs/>
                <w:sz w:val="20"/>
                <w:szCs w:val="20"/>
                <w:lang w:val="en-NZ" w:eastAsia="en-NZ"/>
              </w:rPr>
              <w:t xml:space="preserve"> </w:t>
            </w:r>
            <w:r w:rsidRPr="00071BA1">
              <w:rPr>
                <w:rFonts w:ascii="Calibri" w:eastAsia="Times New Roman" w:hAnsi="Calibri" w:cs="Times New Roman"/>
                <w:bCs/>
                <w:sz w:val="20"/>
                <w:szCs w:val="20"/>
                <w:lang w:val="en-NZ" w:eastAsia="en-NZ"/>
              </w:rPr>
              <w:t xml:space="preserve">including through its </w:t>
            </w:r>
            <w:r w:rsidR="00882FA0" w:rsidRPr="00071BA1">
              <w:rPr>
                <w:rFonts w:ascii="Calibri" w:eastAsia="Times New Roman" w:hAnsi="Calibri" w:cs="Times New Roman"/>
                <w:bCs/>
                <w:sz w:val="20"/>
                <w:szCs w:val="20"/>
                <w:lang w:val="en-NZ" w:eastAsia="en-NZ"/>
              </w:rPr>
              <w:t>Māori</w:t>
            </w:r>
            <w:r w:rsidRPr="00071BA1">
              <w:rPr>
                <w:rFonts w:ascii="Calibri" w:eastAsia="Times New Roman" w:hAnsi="Calibri" w:cs="Times New Roman"/>
                <w:bCs/>
                <w:sz w:val="20"/>
                <w:szCs w:val="20"/>
                <w:lang w:val="en-NZ" w:eastAsia="en-NZ"/>
              </w:rPr>
              <w:t xml:space="preserve"> and Pacific student </w:t>
            </w:r>
            <w:r w:rsidR="00121A0B" w:rsidRPr="00071BA1">
              <w:rPr>
                <w:rFonts w:ascii="Calibri" w:eastAsia="Times New Roman" w:hAnsi="Calibri" w:cs="Times New Roman"/>
                <w:bCs/>
                <w:sz w:val="20"/>
                <w:szCs w:val="20"/>
                <w:lang w:val="en-NZ" w:eastAsia="en-NZ"/>
              </w:rPr>
              <w:lastRenderedPageBreak/>
              <w:t>advisers</w:t>
            </w:r>
            <w:r w:rsidR="00C91C79" w:rsidRPr="00071BA1">
              <w:rPr>
                <w:rFonts w:ascii="Calibri" w:eastAsia="Times New Roman" w:hAnsi="Calibri" w:cs="Times New Roman"/>
                <w:bCs/>
                <w:sz w:val="20"/>
                <w:szCs w:val="20"/>
                <w:lang w:val="en-NZ" w:eastAsia="en-NZ"/>
              </w:rPr>
              <w:t xml:space="preserve"> and</w:t>
            </w:r>
            <w:r w:rsidRPr="00071BA1">
              <w:rPr>
                <w:rFonts w:ascii="Calibri" w:eastAsia="Times New Roman" w:hAnsi="Calibri" w:cs="Times New Roman"/>
                <w:bCs/>
                <w:sz w:val="20"/>
                <w:szCs w:val="20"/>
                <w:lang w:val="en-NZ" w:eastAsia="en-NZ"/>
              </w:rPr>
              <w:t xml:space="preserve"> coordination of the </w:t>
            </w:r>
            <w:r w:rsidR="00121A0B" w:rsidRPr="00071BA1">
              <w:rPr>
                <w:rFonts w:ascii="Calibri" w:eastAsia="Times New Roman" w:hAnsi="Calibri" w:cs="Times New Roman"/>
                <w:bCs/>
                <w:sz w:val="20"/>
                <w:szCs w:val="20"/>
                <w:lang w:val="en-NZ" w:eastAsia="en-NZ"/>
              </w:rPr>
              <w:t>Tuākana</w:t>
            </w:r>
            <w:r w:rsidRPr="00071BA1">
              <w:rPr>
                <w:rFonts w:ascii="Calibri" w:eastAsia="Times New Roman" w:hAnsi="Calibri" w:cs="Times New Roman"/>
                <w:bCs/>
                <w:sz w:val="20"/>
                <w:szCs w:val="20"/>
                <w:lang w:val="en-NZ" w:eastAsia="en-NZ"/>
              </w:rPr>
              <w:t xml:space="preserve"> Learning C</w:t>
            </w:r>
            <w:r w:rsidR="00747170">
              <w:rPr>
                <w:rFonts w:ascii="Calibri" w:eastAsia="Times New Roman" w:hAnsi="Calibri" w:cs="Times New Roman"/>
                <w:bCs/>
                <w:sz w:val="20"/>
                <w:szCs w:val="20"/>
                <w:lang w:val="en-NZ" w:eastAsia="en-NZ"/>
              </w:rPr>
              <w:t>ommunity. For students</w:t>
            </w:r>
            <w:r w:rsidR="00121A0B" w:rsidRPr="00071BA1">
              <w:rPr>
                <w:rFonts w:ascii="Calibri" w:eastAsia="Times New Roman" w:hAnsi="Calibri" w:cs="Times New Roman"/>
                <w:bCs/>
                <w:sz w:val="20"/>
                <w:szCs w:val="20"/>
                <w:lang w:val="en-NZ" w:eastAsia="en-NZ"/>
              </w:rPr>
              <w:t xml:space="preserve"> with disabilities</w:t>
            </w:r>
            <w:r w:rsidR="00C91C79" w:rsidRPr="00071BA1">
              <w:rPr>
                <w:rFonts w:ascii="Calibri" w:eastAsia="Times New Roman" w:hAnsi="Calibri" w:cs="Times New Roman"/>
                <w:bCs/>
                <w:sz w:val="20"/>
                <w:szCs w:val="20"/>
                <w:lang w:val="en-NZ" w:eastAsia="en-NZ"/>
              </w:rPr>
              <w:t>, support</w:t>
            </w:r>
            <w:r w:rsidR="00121A0B" w:rsidRPr="00071BA1">
              <w:rPr>
                <w:rFonts w:ascii="Calibri" w:eastAsia="Times New Roman" w:hAnsi="Calibri" w:cs="Times New Roman"/>
                <w:bCs/>
                <w:sz w:val="20"/>
                <w:szCs w:val="20"/>
                <w:lang w:val="en-NZ" w:eastAsia="en-NZ"/>
              </w:rPr>
              <w:t xml:space="preserve"> </w:t>
            </w:r>
            <w:r w:rsidR="00747170">
              <w:rPr>
                <w:rFonts w:ascii="Calibri" w:eastAsia="Times New Roman" w:hAnsi="Calibri" w:cs="Times New Roman"/>
                <w:bCs/>
                <w:sz w:val="20"/>
                <w:szCs w:val="20"/>
                <w:lang w:val="en-NZ" w:eastAsia="en-NZ"/>
              </w:rPr>
              <w:t xml:space="preserve">for </w:t>
            </w:r>
            <w:r w:rsidR="00121A0B" w:rsidRPr="00071BA1">
              <w:rPr>
                <w:rFonts w:ascii="Calibri" w:eastAsia="Times New Roman" w:hAnsi="Calibri" w:cs="Times New Roman"/>
                <w:bCs/>
                <w:sz w:val="20"/>
                <w:szCs w:val="20"/>
                <w:lang w:val="en-NZ" w:eastAsia="en-NZ"/>
              </w:rPr>
              <w:t xml:space="preserve">retention and success is delivered via </w:t>
            </w:r>
            <w:r w:rsidRPr="00071BA1">
              <w:rPr>
                <w:rFonts w:ascii="Calibri" w:eastAsia="Times New Roman" w:hAnsi="Calibri" w:cs="Times New Roman"/>
                <w:bCs/>
                <w:sz w:val="20"/>
                <w:szCs w:val="20"/>
                <w:lang w:val="en-NZ" w:eastAsia="en-NZ"/>
              </w:rPr>
              <w:t xml:space="preserve">Student </w:t>
            </w:r>
            <w:r w:rsidR="00121A0B" w:rsidRPr="00071BA1">
              <w:rPr>
                <w:rFonts w:ascii="Calibri" w:eastAsia="Times New Roman" w:hAnsi="Calibri" w:cs="Times New Roman"/>
                <w:bCs/>
                <w:sz w:val="20"/>
                <w:szCs w:val="20"/>
                <w:lang w:val="en-NZ" w:eastAsia="en-NZ"/>
              </w:rPr>
              <w:t>Disability</w:t>
            </w:r>
            <w:r w:rsidRPr="00071BA1">
              <w:rPr>
                <w:rFonts w:ascii="Calibri" w:eastAsia="Times New Roman" w:hAnsi="Calibri" w:cs="Times New Roman"/>
                <w:bCs/>
                <w:sz w:val="20"/>
                <w:szCs w:val="20"/>
                <w:lang w:val="en-NZ" w:eastAsia="en-NZ"/>
              </w:rPr>
              <w:t xml:space="preserve"> Services</w:t>
            </w:r>
            <w:r w:rsidR="00121A0B" w:rsidRPr="00071BA1">
              <w:rPr>
                <w:rFonts w:ascii="Calibri" w:eastAsia="Times New Roman" w:hAnsi="Calibri" w:cs="Times New Roman"/>
                <w:bCs/>
                <w:sz w:val="20"/>
                <w:szCs w:val="20"/>
                <w:lang w:val="en-NZ" w:eastAsia="en-NZ"/>
              </w:rPr>
              <w:t xml:space="preserve">. </w:t>
            </w:r>
            <w:r w:rsidR="00EB7729">
              <w:rPr>
                <w:rFonts w:ascii="Calibri" w:eastAsia="Times New Roman" w:hAnsi="Calibri" w:cs="Times New Roman"/>
                <w:bCs/>
                <w:sz w:val="20"/>
                <w:szCs w:val="20"/>
                <w:lang w:val="en-NZ" w:eastAsia="en-NZ"/>
              </w:rPr>
              <w:t>The EO will continue to enhance this support for students alongside further promotion of the support to key stakeholders.</w:t>
            </w:r>
          </w:p>
          <w:p w:rsidR="00DB71C4" w:rsidRDefault="00DB71C4" w:rsidP="003A3B0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val="en-NZ" w:eastAsia="en-NZ"/>
              </w:rPr>
            </w:pPr>
          </w:p>
          <w:p w:rsidR="00DB71C4" w:rsidRDefault="00DB71C4" w:rsidP="003A3B0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val="en-NZ" w:eastAsia="en-NZ"/>
              </w:rPr>
            </w:pPr>
          </w:p>
          <w:p w:rsidR="00DB71C4" w:rsidRDefault="00DB71C4" w:rsidP="003A3B0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val="en-NZ" w:eastAsia="en-NZ"/>
              </w:rPr>
            </w:pPr>
          </w:p>
          <w:p w:rsidR="00DB71C4" w:rsidRDefault="00DB71C4" w:rsidP="003A3B0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val="en-NZ" w:eastAsia="en-NZ"/>
              </w:rPr>
            </w:pPr>
          </w:p>
          <w:p w:rsidR="00DB71C4" w:rsidRDefault="00DB71C4" w:rsidP="003A3B0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val="en-NZ" w:eastAsia="en-NZ"/>
              </w:rPr>
            </w:pPr>
          </w:p>
          <w:p w:rsidR="003E2FBF" w:rsidRDefault="003E2FBF" w:rsidP="003A3B0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val="en-NZ" w:eastAsia="en-NZ"/>
              </w:rPr>
            </w:pPr>
          </w:p>
          <w:p w:rsidR="00DB71C4" w:rsidRDefault="00DB71C4" w:rsidP="003A3B0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val="en-NZ" w:eastAsia="en-NZ"/>
              </w:rPr>
            </w:pPr>
          </w:p>
          <w:p w:rsidR="00DB71C4" w:rsidRDefault="00DB71C4" w:rsidP="003A3B0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val="en-NZ" w:eastAsia="en-NZ"/>
              </w:rPr>
            </w:pPr>
          </w:p>
          <w:p w:rsidR="00DB71C4" w:rsidRPr="00071BA1" w:rsidRDefault="00DB71C4" w:rsidP="003A3B0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6"/>
                <w:szCs w:val="20"/>
                <w:lang w:val="en-NZ" w:eastAsia="en-NZ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6D023A" w:rsidRPr="00972CA1" w:rsidRDefault="006D023A" w:rsidP="00877BF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val="en-NZ" w:eastAsia="en-NZ"/>
              </w:rPr>
            </w:pPr>
          </w:p>
        </w:tc>
        <w:tc>
          <w:tcPr>
            <w:tcW w:w="2202" w:type="dxa"/>
            <w:vMerge/>
            <w:vAlign w:val="center"/>
            <w:hideMark/>
          </w:tcPr>
          <w:p w:rsidR="006D023A" w:rsidRPr="00972CA1" w:rsidRDefault="006D023A" w:rsidP="00877BF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val="en-NZ" w:eastAsia="en-NZ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D023A" w:rsidRPr="00972CA1" w:rsidRDefault="006D023A" w:rsidP="00877BF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val="en-NZ" w:eastAsia="en-NZ"/>
              </w:rPr>
            </w:pPr>
          </w:p>
        </w:tc>
        <w:tc>
          <w:tcPr>
            <w:tcW w:w="1228" w:type="dxa"/>
            <w:vMerge/>
            <w:vAlign w:val="center"/>
            <w:hideMark/>
          </w:tcPr>
          <w:p w:rsidR="006D023A" w:rsidRPr="00972CA1" w:rsidRDefault="006D023A" w:rsidP="00877BF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val="en-NZ" w:eastAsia="en-NZ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6D023A" w:rsidRPr="00972CA1" w:rsidRDefault="006D023A" w:rsidP="00877BF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val="en-NZ" w:eastAsia="en-NZ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6D023A" w:rsidRPr="00972CA1" w:rsidRDefault="006D023A" w:rsidP="00877BF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val="en-NZ" w:eastAsia="en-NZ"/>
              </w:rPr>
            </w:pPr>
          </w:p>
        </w:tc>
      </w:tr>
      <w:tr w:rsidR="00121A0B" w:rsidRPr="008F67F7" w:rsidTr="00BE2261">
        <w:trPr>
          <w:trHeight w:val="83"/>
        </w:trPr>
        <w:tc>
          <w:tcPr>
            <w:tcW w:w="14770" w:type="dxa"/>
            <w:gridSpan w:val="9"/>
            <w:shd w:val="clear" w:color="000000" w:fill="F2F2F2"/>
            <w:vAlign w:val="center"/>
            <w:hideMark/>
          </w:tcPr>
          <w:p w:rsidR="00121A0B" w:rsidRPr="00071BA1" w:rsidRDefault="00121A0B" w:rsidP="00121A0B">
            <w:pPr>
              <w:pStyle w:val="Default"/>
              <w:rPr>
                <w:sz w:val="20"/>
                <w:szCs w:val="20"/>
              </w:rPr>
            </w:pPr>
            <w:r w:rsidRPr="00071BA1">
              <w:rPr>
                <w:b/>
                <w:bCs/>
                <w:sz w:val="20"/>
                <w:szCs w:val="20"/>
              </w:rPr>
              <w:lastRenderedPageBreak/>
              <w:t>A safe, inclusive, accessible and equitable environment that supports staff and students with disabilities to achieve their potential</w:t>
            </w:r>
          </w:p>
        </w:tc>
      </w:tr>
      <w:tr w:rsidR="00EB7729" w:rsidRPr="009C2554" w:rsidTr="00FB22A1">
        <w:trPr>
          <w:trHeight w:val="659"/>
        </w:trPr>
        <w:tc>
          <w:tcPr>
            <w:tcW w:w="1276" w:type="dxa"/>
            <w:vMerge w:val="restart"/>
            <w:shd w:val="clear" w:color="000000" w:fill="FCD5B4"/>
            <w:hideMark/>
          </w:tcPr>
          <w:p w:rsidR="00EB7729" w:rsidRPr="00071BA1" w:rsidRDefault="00EB7729" w:rsidP="00FB22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NZ" w:eastAsia="en-NZ"/>
              </w:rPr>
            </w:pPr>
            <w:r w:rsidRPr="00071BA1">
              <w:rPr>
                <w:rFonts w:eastAsia="Times New Roman" w:cs="Times New Roman"/>
                <w:sz w:val="20"/>
                <w:szCs w:val="20"/>
                <w:lang w:val="en-NZ" w:eastAsia="en-NZ"/>
              </w:rPr>
              <w:t>CE11</w:t>
            </w:r>
          </w:p>
          <w:p w:rsidR="00EB7729" w:rsidRPr="00071BA1" w:rsidRDefault="00EB7729" w:rsidP="00FB22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NZ" w:eastAsia="en-NZ"/>
              </w:rPr>
            </w:pPr>
            <w:r w:rsidRPr="00071BA1">
              <w:rPr>
                <w:rFonts w:eastAsia="Times New Roman" w:cs="Times New Roman"/>
                <w:sz w:val="20"/>
                <w:szCs w:val="20"/>
                <w:lang w:val="en-NZ" w:eastAsia="en-NZ"/>
              </w:rPr>
              <w:t>F105</w:t>
            </w:r>
          </w:p>
          <w:p w:rsidR="00EB7729" w:rsidRPr="00071BA1" w:rsidRDefault="00EB7729" w:rsidP="00FB22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NZ" w:eastAsia="en-NZ"/>
              </w:rPr>
            </w:pPr>
            <w:r w:rsidRPr="00071BA1">
              <w:rPr>
                <w:rFonts w:eastAsia="Times New Roman" w:cs="Times New Roman"/>
                <w:sz w:val="20"/>
                <w:szCs w:val="20"/>
                <w:lang w:val="en-NZ" w:eastAsia="en-NZ"/>
              </w:rPr>
              <w:t>F108</w:t>
            </w:r>
          </w:p>
          <w:p w:rsidR="00EB7729" w:rsidRPr="00071BA1" w:rsidRDefault="00EB7729" w:rsidP="00FB22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NZ" w:eastAsia="en-NZ"/>
              </w:rPr>
            </w:pPr>
            <w:r w:rsidRPr="00071BA1">
              <w:rPr>
                <w:rFonts w:eastAsia="Times New Roman" w:cs="Times New Roman"/>
                <w:sz w:val="20"/>
                <w:szCs w:val="20"/>
                <w:lang w:val="en-NZ" w:eastAsia="en-NZ"/>
              </w:rPr>
              <w:t>GO02</w:t>
            </w:r>
          </w:p>
          <w:p w:rsidR="00EB7729" w:rsidRPr="00071BA1" w:rsidRDefault="00EB7729" w:rsidP="00FB22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NZ" w:eastAsia="en-NZ"/>
              </w:rPr>
            </w:pPr>
            <w:r w:rsidRPr="00071BA1">
              <w:rPr>
                <w:rFonts w:eastAsia="Times New Roman" w:cs="Times New Roman"/>
                <w:sz w:val="20"/>
                <w:szCs w:val="20"/>
                <w:lang w:val="en-NZ" w:eastAsia="en-NZ"/>
              </w:rPr>
              <w:t>GO09</w:t>
            </w:r>
          </w:p>
          <w:p w:rsidR="00EB7729" w:rsidRPr="00071BA1" w:rsidRDefault="00EB7729" w:rsidP="00FB22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NZ" w:eastAsia="en-NZ"/>
              </w:rPr>
            </w:pPr>
            <w:r w:rsidRPr="00071BA1">
              <w:rPr>
                <w:rFonts w:eastAsia="Times New Roman" w:cs="Times New Roman"/>
                <w:sz w:val="20"/>
                <w:szCs w:val="20"/>
                <w:lang w:val="en-NZ" w:eastAsia="en-NZ"/>
              </w:rPr>
              <w:t>SS10</w:t>
            </w:r>
          </w:p>
          <w:p w:rsidR="00EB7729" w:rsidRPr="00071BA1" w:rsidRDefault="00EB7729" w:rsidP="00FB22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NZ" w:eastAsia="en-NZ"/>
              </w:rPr>
            </w:pPr>
            <w:r w:rsidRPr="00071BA1">
              <w:rPr>
                <w:rFonts w:eastAsia="Times New Roman" w:cs="Times New Roman"/>
                <w:sz w:val="20"/>
                <w:szCs w:val="20"/>
                <w:lang w:val="en-NZ" w:eastAsia="en-NZ"/>
              </w:rPr>
              <w:t>SS13</w:t>
            </w:r>
          </w:p>
          <w:p w:rsidR="00EB7729" w:rsidRPr="00071BA1" w:rsidRDefault="00EB7729" w:rsidP="00FB22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NZ" w:eastAsia="en-NZ"/>
              </w:rPr>
            </w:pPr>
            <w:r w:rsidRPr="00071BA1">
              <w:rPr>
                <w:rFonts w:eastAsia="Times New Roman" w:cs="Times New Roman"/>
                <w:sz w:val="20"/>
                <w:szCs w:val="20"/>
                <w:lang w:val="en-NZ" w:eastAsia="en-NZ"/>
              </w:rPr>
              <w:t>SS14</w:t>
            </w:r>
          </w:p>
          <w:p w:rsidR="00EB7729" w:rsidRPr="00071BA1" w:rsidRDefault="00EB7729" w:rsidP="00FB22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NZ" w:eastAsia="en-NZ"/>
              </w:rPr>
            </w:pPr>
            <w:r w:rsidRPr="00071BA1">
              <w:rPr>
                <w:rFonts w:eastAsia="Times New Roman" w:cs="Times New Roman"/>
                <w:sz w:val="20"/>
                <w:szCs w:val="20"/>
                <w:lang w:val="en-NZ" w:eastAsia="en-NZ"/>
              </w:rPr>
              <w:t>SS15</w:t>
            </w:r>
          </w:p>
          <w:p w:rsidR="00EB7729" w:rsidRPr="00071BA1" w:rsidRDefault="00EB7729" w:rsidP="00FB22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NZ" w:eastAsia="en-NZ"/>
              </w:rPr>
            </w:pPr>
            <w:r w:rsidRPr="00071BA1">
              <w:rPr>
                <w:rFonts w:eastAsia="Times New Roman" w:cs="Times New Roman"/>
                <w:sz w:val="20"/>
                <w:szCs w:val="20"/>
                <w:lang w:val="en-NZ" w:eastAsia="en-NZ"/>
              </w:rPr>
              <w:t>SS17</w:t>
            </w:r>
          </w:p>
          <w:p w:rsidR="00EB7729" w:rsidRPr="0023383B" w:rsidRDefault="00EB7729" w:rsidP="00FB22A1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                                </w:t>
            </w:r>
          </w:p>
        </w:tc>
        <w:tc>
          <w:tcPr>
            <w:tcW w:w="1559" w:type="dxa"/>
            <w:vMerge w:val="restart"/>
            <w:shd w:val="clear" w:color="000000" w:fill="FFFFFF"/>
            <w:hideMark/>
          </w:tcPr>
          <w:p w:rsidR="00EB7729" w:rsidRPr="00071BA1" w:rsidRDefault="00EB7729" w:rsidP="00FB22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NZ" w:eastAsia="en-NZ"/>
              </w:rPr>
            </w:pPr>
            <w:r w:rsidRPr="00071BA1">
              <w:rPr>
                <w:rFonts w:ascii="Calibri" w:eastAsia="Times New Roman" w:hAnsi="Calibri" w:cs="Times New Roman"/>
                <w:sz w:val="20"/>
                <w:szCs w:val="20"/>
                <w:lang w:val="en-NZ" w:eastAsia="en-NZ"/>
              </w:rPr>
              <w:t xml:space="preserve">Staff Equity   </w:t>
            </w:r>
          </w:p>
          <w:p w:rsidR="00EB7729" w:rsidRPr="00071BA1" w:rsidRDefault="00EB7729" w:rsidP="00FB22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NZ" w:eastAsia="en-NZ"/>
              </w:rPr>
            </w:pPr>
            <w:r w:rsidRPr="00071BA1">
              <w:rPr>
                <w:rFonts w:ascii="Calibri" w:eastAsia="Times New Roman" w:hAnsi="Calibri" w:cs="Times New Roman"/>
                <w:sz w:val="20"/>
                <w:szCs w:val="20"/>
                <w:lang w:val="en-NZ" w:eastAsia="en-NZ"/>
              </w:rPr>
              <w:t>Student Equity</w:t>
            </w:r>
          </w:p>
          <w:p w:rsidR="00EB7729" w:rsidRPr="00071BA1" w:rsidRDefault="00EB7729" w:rsidP="00FB22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NZ" w:eastAsia="en-NZ"/>
              </w:rPr>
            </w:pPr>
          </w:p>
          <w:p w:rsidR="00EB7729" w:rsidRPr="00071BA1" w:rsidRDefault="00EB7729" w:rsidP="00FB22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NZ" w:eastAsia="en-NZ"/>
              </w:rPr>
            </w:pPr>
          </w:p>
          <w:p w:rsidR="00EB7729" w:rsidRPr="00071BA1" w:rsidRDefault="00EB7729" w:rsidP="00FB22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NZ" w:eastAsia="en-NZ"/>
              </w:rPr>
            </w:pPr>
          </w:p>
          <w:p w:rsidR="00EB7729" w:rsidRPr="00071BA1" w:rsidRDefault="00EB7729" w:rsidP="00FB22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NZ" w:eastAsia="en-NZ"/>
              </w:rPr>
            </w:pPr>
          </w:p>
          <w:p w:rsidR="00EB7729" w:rsidRPr="00071BA1" w:rsidRDefault="00EB7729" w:rsidP="00FB22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NZ" w:eastAsia="en-NZ"/>
              </w:rPr>
            </w:pPr>
          </w:p>
          <w:p w:rsidR="00EB7729" w:rsidRPr="00071BA1" w:rsidRDefault="00EB7729" w:rsidP="00FB22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NZ" w:eastAsia="en-NZ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EB7729" w:rsidRDefault="00EB7729" w:rsidP="00121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NZ" w:eastAsia="en-NZ"/>
              </w:rPr>
            </w:pPr>
            <w:r w:rsidRPr="00071BA1">
              <w:rPr>
                <w:rFonts w:ascii="Calibri" w:eastAsia="Times New Roman" w:hAnsi="Calibri" w:cs="Times New Roman"/>
                <w:b/>
                <w:bCs/>
                <w:color w:val="4F81BD"/>
                <w:sz w:val="18"/>
                <w:szCs w:val="18"/>
                <w:lang w:val="en-NZ" w:eastAsia="en-NZ"/>
              </w:rPr>
              <w:t>Current performance rating</w:t>
            </w:r>
            <w:r w:rsidRPr="00071BA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NZ" w:eastAsia="en-NZ"/>
              </w:rPr>
              <w:t xml:space="preserve">:   2    </w:t>
            </w:r>
            <w:r w:rsidRPr="00071BA1">
              <w:rPr>
                <w:rFonts w:ascii="Calibri" w:eastAsia="Times New Roman" w:hAnsi="Calibri" w:cs="Times New Roman"/>
                <w:b/>
                <w:bCs/>
                <w:color w:val="4F81BD"/>
                <w:sz w:val="18"/>
                <w:szCs w:val="18"/>
                <w:lang w:val="en-NZ" w:eastAsia="en-NZ"/>
              </w:rPr>
              <w:t>Future performance rating</w:t>
            </w:r>
            <w:r w:rsidRPr="00071BA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NZ" w:eastAsia="en-NZ"/>
              </w:rPr>
              <w:t>:  4</w:t>
            </w:r>
          </w:p>
          <w:p w:rsidR="00EB7729" w:rsidRPr="00972CA1" w:rsidRDefault="00EB7729" w:rsidP="00121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val="en-NZ" w:eastAsia="en-NZ"/>
              </w:rPr>
            </w:pP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EB7729" w:rsidRPr="00071BA1" w:rsidRDefault="00EB7729" w:rsidP="00FB22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NZ" w:eastAsia="en-NZ"/>
              </w:rPr>
            </w:pPr>
            <w:r w:rsidRPr="00071BA1">
              <w:rPr>
                <w:rFonts w:ascii="Calibri" w:eastAsia="Times New Roman" w:hAnsi="Calibri" w:cs="Times New Roman"/>
                <w:sz w:val="20"/>
                <w:szCs w:val="20"/>
                <w:lang w:val="en-NZ" w:eastAsia="en-NZ"/>
              </w:rPr>
              <w:t xml:space="preserve">The EO will lead the </w:t>
            </w:r>
            <w:r w:rsidR="009D2483">
              <w:rPr>
                <w:rFonts w:ascii="Calibri" w:eastAsia="Times New Roman" w:hAnsi="Calibri" w:cs="Times New Roman"/>
                <w:sz w:val="20"/>
                <w:szCs w:val="20"/>
                <w:lang w:val="en-NZ" w:eastAsia="en-NZ"/>
              </w:rPr>
              <w:t>development of a u</w:t>
            </w:r>
            <w:r w:rsidRPr="00071BA1">
              <w:rPr>
                <w:rFonts w:ascii="Calibri" w:eastAsia="Times New Roman" w:hAnsi="Calibri" w:cs="Times New Roman"/>
                <w:sz w:val="20"/>
                <w:szCs w:val="20"/>
                <w:lang w:val="en-NZ" w:eastAsia="en-NZ"/>
              </w:rPr>
              <w:t xml:space="preserve">niversity-wide Disability </w:t>
            </w:r>
            <w:r w:rsidR="003908EA">
              <w:rPr>
                <w:rFonts w:ascii="Calibri" w:eastAsia="Times New Roman" w:hAnsi="Calibri" w:cs="Times New Roman"/>
                <w:sz w:val="20"/>
                <w:szCs w:val="20"/>
                <w:lang w:val="en-NZ" w:eastAsia="en-NZ"/>
              </w:rPr>
              <w:t xml:space="preserve">Programme </w:t>
            </w:r>
            <w:r w:rsidRPr="00071BA1">
              <w:rPr>
                <w:rFonts w:ascii="Calibri" w:eastAsia="Times New Roman" w:hAnsi="Calibri" w:cs="Times New Roman"/>
                <w:sz w:val="20"/>
                <w:szCs w:val="20"/>
                <w:lang w:val="en-NZ" w:eastAsia="en-NZ"/>
              </w:rPr>
              <w:t>which will provide a more coordinated approach to ensuring that the University</w:t>
            </w:r>
            <w:r w:rsidR="001C5B6D">
              <w:rPr>
                <w:rFonts w:ascii="Calibri" w:eastAsia="Times New Roman" w:hAnsi="Calibri" w:cs="Times New Roman"/>
                <w:sz w:val="20"/>
                <w:szCs w:val="20"/>
                <w:lang w:val="en-NZ" w:eastAsia="en-NZ"/>
              </w:rPr>
              <w:t xml:space="preserve"> </w:t>
            </w:r>
            <w:r w:rsidRPr="00071BA1">
              <w:rPr>
                <w:rFonts w:ascii="Calibri" w:eastAsia="Times New Roman" w:hAnsi="Calibri" w:cs="Times New Roman"/>
                <w:sz w:val="20"/>
                <w:szCs w:val="20"/>
                <w:lang w:val="en-NZ" w:eastAsia="en-NZ"/>
              </w:rPr>
              <w:t>is a safe, inclusive, accessible and equitable place where staff and students with disabilities can achieve their potential.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val="en-NZ" w:eastAsia="en-NZ"/>
              </w:rPr>
              <w:t xml:space="preserve"> </w:t>
            </w:r>
            <w:r w:rsidRPr="00071BA1">
              <w:rPr>
                <w:rFonts w:ascii="Calibri" w:eastAsia="Times New Roman" w:hAnsi="Calibri" w:cs="Times New Roman"/>
                <w:bCs/>
                <w:sz w:val="20"/>
                <w:szCs w:val="20"/>
                <w:lang w:val="en-NZ" w:eastAsia="en-NZ"/>
              </w:rPr>
              <w:t xml:space="preserve">KPIs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val="en-NZ" w:eastAsia="en-NZ"/>
              </w:rPr>
              <w:t>will</w:t>
            </w:r>
            <w:r w:rsidRPr="00071BA1">
              <w:rPr>
                <w:rFonts w:ascii="Calibri" w:eastAsia="Times New Roman" w:hAnsi="Calibri" w:cs="Times New Roman"/>
                <w:bCs/>
                <w:sz w:val="20"/>
                <w:szCs w:val="20"/>
                <w:lang w:val="en-NZ" w:eastAsia="en-NZ"/>
              </w:rPr>
              <w:t xml:space="preserve"> be developed to guide and monitor effectiveness.</w:t>
            </w:r>
          </w:p>
          <w:p w:rsidR="00EB7729" w:rsidRDefault="00EB7729" w:rsidP="00FB22A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val="en-NZ" w:eastAsia="en-NZ"/>
              </w:rPr>
            </w:pPr>
          </w:p>
          <w:p w:rsidR="00EB7729" w:rsidRDefault="00EB7729" w:rsidP="00FB22A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val="en-NZ" w:eastAsia="en-NZ"/>
              </w:rPr>
            </w:pPr>
          </w:p>
          <w:p w:rsidR="00EB7729" w:rsidRDefault="00EB7729" w:rsidP="00FB22A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val="en-NZ" w:eastAsia="en-NZ"/>
              </w:rPr>
            </w:pPr>
          </w:p>
          <w:p w:rsidR="00EB7729" w:rsidRDefault="00EB7729" w:rsidP="00FB22A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val="en-NZ" w:eastAsia="en-NZ"/>
              </w:rPr>
            </w:pPr>
          </w:p>
          <w:p w:rsidR="00EB7729" w:rsidRDefault="00EB7729" w:rsidP="00FB22A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val="en-NZ" w:eastAsia="en-NZ"/>
              </w:rPr>
            </w:pPr>
          </w:p>
          <w:p w:rsidR="00EB7729" w:rsidRDefault="00EB7729" w:rsidP="00FB22A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val="en-NZ" w:eastAsia="en-NZ"/>
              </w:rPr>
            </w:pPr>
          </w:p>
          <w:p w:rsidR="00EB7729" w:rsidRDefault="00EB7729" w:rsidP="00FB22A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val="en-NZ" w:eastAsia="en-NZ"/>
              </w:rPr>
            </w:pPr>
          </w:p>
          <w:p w:rsidR="00EB7729" w:rsidRPr="00972CA1" w:rsidRDefault="00EB7729" w:rsidP="00FB22A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val="en-NZ" w:eastAsia="en-NZ"/>
              </w:rPr>
            </w:pPr>
          </w:p>
        </w:tc>
        <w:tc>
          <w:tcPr>
            <w:tcW w:w="2202" w:type="dxa"/>
            <w:vMerge w:val="restart"/>
            <w:shd w:val="clear" w:color="000000" w:fill="FFFFFF"/>
            <w:noWrap/>
            <w:hideMark/>
          </w:tcPr>
          <w:p w:rsidR="00EB7729" w:rsidRPr="00071BA1" w:rsidRDefault="00EB7729" w:rsidP="00FB22A1">
            <w:pPr>
              <w:spacing w:after="120" w:line="240" w:lineRule="auto"/>
              <w:rPr>
                <w:rFonts w:cs="Times New Roman"/>
                <w:sz w:val="20"/>
                <w:szCs w:val="20"/>
                <w:lang w:val="en-NZ"/>
              </w:rPr>
            </w:pPr>
            <w:r w:rsidRPr="00071BA1">
              <w:rPr>
                <w:rFonts w:cs="Times New Roman"/>
                <w:sz w:val="20"/>
                <w:szCs w:val="20"/>
                <w:lang w:val="en-NZ"/>
              </w:rPr>
              <w:t xml:space="preserve">KPIs within the University Disability </w:t>
            </w:r>
            <w:r w:rsidR="001C5B6D">
              <w:rPr>
                <w:rFonts w:cs="Times New Roman"/>
                <w:sz w:val="20"/>
                <w:szCs w:val="20"/>
                <w:lang w:val="en-NZ"/>
              </w:rPr>
              <w:t>Programme</w:t>
            </w:r>
            <w:r w:rsidRPr="00071BA1">
              <w:rPr>
                <w:rFonts w:cs="Times New Roman"/>
                <w:sz w:val="20"/>
                <w:szCs w:val="20"/>
                <w:lang w:val="en-NZ"/>
              </w:rPr>
              <w:t xml:space="preserve"> are achieved.</w:t>
            </w:r>
          </w:p>
          <w:p w:rsidR="00EB7729" w:rsidRDefault="00EB7729" w:rsidP="00FB22A1">
            <w:pPr>
              <w:spacing w:after="0" w:line="240" w:lineRule="auto"/>
              <w:ind w:left="317"/>
              <w:rPr>
                <w:rFonts w:cs="Times New Roman"/>
                <w:sz w:val="16"/>
                <w:szCs w:val="16"/>
                <w:lang w:val="en-NZ"/>
              </w:rPr>
            </w:pPr>
          </w:p>
          <w:p w:rsidR="00EB7729" w:rsidRDefault="00EB7729" w:rsidP="00FB22A1">
            <w:pPr>
              <w:spacing w:after="0" w:line="240" w:lineRule="auto"/>
              <w:ind w:left="317"/>
              <w:rPr>
                <w:rFonts w:cs="Times New Roman"/>
                <w:sz w:val="16"/>
                <w:szCs w:val="16"/>
                <w:lang w:val="en-NZ"/>
              </w:rPr>
            </w:pPr>
          </w:p>
          <w:p w:rsidR="00EB7729" w:rsidRDefault="00EB7729" w:rsidP="00FB22A1">
            <w:pPr>
              <w:spacing w:after="0" w:line="240" w:lineRule="auto"/>
              <w:ind w:left="317"/>
              <w:rPr>
                <w:rFonts w:cs="Times New Roman"/>
                <w:sz w:val="16"/>
                <w:szCs w:val="16"/>
                <w:lang w:val="en-NZ"/>
              </w:rPr>
            </w:pPr>
          </w:p>
          <w:p w:rsidR="00EB7729" w:rsidRDefault="00EB7729" w:rsidP="00FB22A1">
            <w:pPr>
              <w:spacing w:after="0" w:line="240" w:lineRule="auto"/>
              <w:ind w:left="317"/>
              <w:rPr>
                <w:rFonts w:cs="Times New Roman"/>
                <w:sz w:val="16"/>
                <w:szCs w:val="16"/>
                <w:lang w:val="en-NZ"/>
              </w:rPr>
            </w:pPr>
          </w:p>
          <w:p w:rsidR="00EB7729" w:rsidRDefault="00EB7729" w:rsidP="00FB22A1">
            <w:pPr>
              <w:spacing w:after="0" w:line="240" w:lineRule="auto"/>
              <w:ind w:left="317"/>
              <w:rPr>
                <w:rFonts w:cs="Times New Roman"/>
                <w:sz w:val="16"/>
                <w:szCs w:val="16"/>
                <w:lang w:val="en-NZ"/>
              </w:rPr>
            </w:pPr>
          </w:p>
          <w:p w:rsidR="00EB7729" w:rsidRDefault="00EB7729" w:rsidP="00FB22A1">
            <w:pPr>
              <w:spacing w:after="0" w:line="240" w:lineRule="auto"/>
              <w:ind w:left="317"/>
              <w:rPr>
                <w:rFonts w:cs="Times New Roman"/>
                <w:sz w:val="16"/>
                <w:szCs w:val="16"/>
                <w:lang w:val="en-NZ"/>
              </w:rPr>
            </w:pPr>
          </w:p>
          <w:p w:rsidR="00EB7729" w:rsidRDefault="00EB7729" w:rsidP="00FB22A1">
            <w:pPr>
              <w:spacing w:after="0" w:line="240" w:lineRule="auto"/>
              <w:ind w:left="317"/>
              <w:rPr>
                <w:rFonts w:cs="Times New Roman"/>
                <w:sz w:val="16"/>
                <w:szCs w:val="16"/>
                <w:lang w:val="en-NZ"/>
              </w:rPr>
            </w:pPr>
          </w:p>
          <w:p w:rsidR="00EB7729" w:rsidRDefault="00EB7729" w:rsidP="00FB22A1">
            <w:pPr>
              <w:spacing w:after="0" w:line="240" w:lineRule="auto"/>
              <w:ind w:left="317"/>
              <w:rPr>
                <w:rFonts w:cs="Times New Roman"/>
                <w:sz w:val="16"/>
                <w:szCs w:val="16"/>
                <w:lang w:val="en-NZ"/>
              </w:rPr>
            </w:pPr>
          </w:p>
          <w:p w:rsidR="00EB7729" w:rsidRDefault="00EB7729" w:rsidP="00FB22A1">
            <w:pPr>
              <w:spacing w:after="0" w:line="240" w:lineRule="auto"/>
              <w:ind w:left="317"/>
              <w:rPr>
                <w:rFonts w:cs="Times New Roman"/>
                <w:sz w:val="16"/>
                <w:szCs w:val="16"/>
                <w:lang w:val="en-NZ"/>
              </w:rPr>
            </w:pPr>
          </w:p>
          <w:p w:rsidR="00EB7729" w:rsidRDefault="00EB7729" w:rsidP="00FB22A1">
            <w:pPr>
              <w:spacing w:after="0" w:line="240" w:lineRule="auto"/>
              <w:ind w:left="317"/>
              <w:rPr>
                <w:rFonts w:cs="Times New Roman"/>
                <w:sz w:val="16"/>
                <w:szCs w:val="16"/>
                <w:lang w:val="en-NZ"/>
              </w:rPr>
            </w:pPr>
          </w:p>
          <w:p w:rsidR="00EB7729" w:rsidRDefault="00EB7729" w:rsidP="00FB22A1">
            <w:pPr>
              <w:spacing w:after="0" w:line="240" w:lineRule="auto"/>
              <w:ind w:left="317"/>
              <w:rPr>
                <w:rFonts w:cs="Times New Roman"/>
                <w:sz w:val="16"/>
                <w:szCs w:val="16"/>
                <w:lang w:val="en-NZ"/>
              </w:rPr>
            </w:pPr>
          </w:p>
          <w:p w:rsidR="00EB7729" w:rsidRDefault="00EB7729" w:rsidP="00FB22A1">
            <w:pPr>
              <w:spacing w:after="0" w:line="240" w:lineRule="auto"/>
              <w:ind w:left="317"/>
              <w:rPr>
                <w:rFonts w:cs="Times New Roman"/>
                <w:sz w:val="16"/>
                <w:szCs w:val="16"/>
                <w:lang w:val="en-NZ"/>
              </w:rPr>
            </w:pPr>
          </w:p>
          <w:p w:rsidR="00EB7729" w:rsidRDefault="00EB7729" w:rsidP="00FB22A1">
            <w:pPr>
              <w:spacing w:after="0" w:line="240" w:lineRule="auto"/>
              <w:ind w:left="317"/>
              <w:rPr>
                <w:rFonts w:cs="Times New Roman"/>
                <w:sz w:val="16"/>
                <w:szCs w:val="16"/>
                <w:lang w:val="en-NZ"/>
              </w:rPr>
            </w:pPr>
          </w:p>
          <w:p w:rsidR="00EB7729" w:rsidRDefault="00EB7729" w:rsidP="00FB22A1">
            <w:pPr>
              <w:spacing w:after="0" w:line="240" w:lineRule="auto"/>
              <w:ind w:left="317"/>
              <w:rPr>
                <w:rFonts w:cs="Times New Roman"/>
                <w:sz w:val="16"/>
                <w:szCs w:val="16"/>
                <w:lang w:val="en-NZ"/>
              </w:rPr>
            </w:pPr>
          </w:p>
          <w:p w:rsidR="00EB7729" w:rsidRDefault="00EB7729" w:rsidP="00FB22A1">
            <w:pPr>
              <w:spacing w:after="0" w:line="240" w:lineRule="auto"/>
              <w:ind w:left="317"/>
              <w:rPr>
                <w:rFonts w:cs="Times New Roman"/>
                <w:sz w:val="16"/>
                <w:szCs w:val="16"/>
                <w:lang w:val="en-NZ"/>
              </w:rPr>
            </w:pPr>
          </w:p>
          <w:p w:rsidR="00EB7729" w:rsidRDefault="00EB7729" w:rsidP="00FB22A1">
            <w:pPr>
              <w:spacing w:after="0" w:line="240" w:lineRule="auto"/>
              <w:ind w:left="317"/>
              <w:rPr>
                <w:rFonts w:cs="Times New Roman"/>
                <w:sz w:val="16"/>
                <w:szCs w:val="16"/>
                <w:lang w:val="en-NZ"/>
              </w:rPr>
            </w:pPr>
          </w:p>
          <w:p w:rsidR="00EB7729" w:rsidRDefault="00EB7729" w:rsidP="00FB22A1">
            <w:pPr>
              <w:spacing w:after="0" w:line="240" w:lineRule="auto"/>
              <w:ind w:left="317"/>
              <w:rPr>
                <w:rFonts w:cs="Times New Roman"/>
                <w:sz w:val="16"/>
                <w:szCs w:val="16"/>
                <w:lang w:val="en-NZ"/>
              </w:rPr>
            </w:pPr>
          </w:p>
          <w:p w:rsidR="00EB7729" w:rsidRDefault="00EB7729" w:rsidP="00FB22A1">
            <w:pPr>
              <w:spacing w:after="0" w:line="240" w:lineRule="auto"/>
              <w:ind w:left="317"/>
              <w:rPr>
                <w:rFonts w:cs="Times New Roman"/>
                <w:sz w:val="16"/>
                <w:szCs w:val="16"/>
                <w:lang w:val="en-NZ"/>
              </w:rPr>
            </w:pPr>
          </w:p>
          <w:p w:rsidR="00EB7729" w:rsidRDefault="00EB7729" w:rsidP="00FB22A1">
            <w:pPr>
              <w:spacing w:after="0" w:line="240" w:lineRule="auto"/>
              <w:ind w:left="317"/>
              <w:rPr>
                <w:rFonts w:cs="Times New Roman"/>
                <w:sz w:val="16"/>
                <w:szCs w:val="16"/>
                <w:lang w:val="en-NZ"/>
              </w:rPr>
            </w:pPr>
          </w:p>
          <w:p w:rsidR="00EB7729" w:rsidRDefault="00EB7729" w:rsidP="00FB22A1">
            <w:pPr>
              <w:spacing w:after="0" w:line="240" w:lineRule="auto"/>
              <w:ind w:left="317"/>
              <w:rPr>
                <w:rFonts w:cs="Times New Roman"/>
                <w:sz w:val="16"/>
                <w:szCs w:val="16"/>
                <w:lang w:val="en-NZ"/>
              </w:rPr>
            </w:pPr>
          </w:p>
          <w:p w:rsidR="00EB7729" w:rsidRDefault="00EB7729" w:rsidP="00FB22A1">
            <w:pPr>
              <w:spacing w:after="0" w:line="240" w:lineRule="auto"/>
              <w:ind w:left="317"/>
              <w:rPr>
                <w:rFonts w:cs="Times New Roman"/>
                <w:sz w:val="16"/>
                <w:szCs w:val="16"/>
                <w:lang w:val="en-NZ"/>
              </w:rPr>
            </w:pPr>
          </w:p>
          <w:p w:rsidR="00EB7729" w:rsidRDefault="00EB7729" w:rsidP="00FB22A1">
            <w:pPr>
              <w:spacing w:after="0" w:line="240" w:lineRule="auto"/>
              <w:ind w:left="317"/>
              <w:rPr>
                <w:rFonts w:cs="Times New Roman"/>
                <w:sz w:val="16"/>
                <w:szCs w:val="16"/>
                <w:lang w:val="en-NZ"/>
              </w:rPr>
            </w:pPr>
          </w:p>
          <w:p w:rsidR="00EB7729" w:rsidRDefault="00EB7729" w:rsidP="00FB22A1">
            <w:pPr>
              <w:spacing w:after="0" w:line="240" w:lineRule="auto"/>
              <w:ind w:left="317"/>
              <w:rPr>
                <w:rFonts w:cs="Times New Roman"/>
                <w:sz w:val="16"/>
                <w:szCs w:val="16"/>
                <w:lang w:val="en-NZ"/>
              </w:rPr>
            </w:pPr>
          </w:p>
          <w:p w:rsidR="00EB7729" w:rsidRPr="004A6CEE" w:rsidRDefault="00EB7729" w:rsidP="00FB22A1">
            <w:pPr>
              <w:spacing w:after="0" w:line="240" w:lineRule="auto"/>
              <w:ind w:left="317"/>
              <w:rPr>
                <w:rFonts w:cs="Times New Roman"/>
                <w:sz w:val="16"/>
                <w:szCs w:val="16"/>
                <w:lang w:val="en-NZ"/>
              </w:rPr>
            </w:pPr>
          </w:p>
          <w:p w:rsidR="00EB7729" w:rsidRPr="004A6CEE" w:rsidRDefault="00EB7729" w:rsidP="00FB22A1">
            <w:pPr>
              <w:spacing w:after="120" w:line="240" w:lineRule="auto"/>
              <w:ind w:left="720"/>
              <w:rPr>
                <w:rFonts w:ascii="Calibri" w:eastAsia="Times New Roman" w:hAnsi="Calibri" w:cs="Times New Roman"/>
                <w:sz w:val="16"/>
                <w:szCs w:val="16"/>
                <w:lang w:val="en-NZ" w:eastAsia="en-NZ"/>
              </w:rPr>
            </w:pPr>
            <w:r w:rsidRPr="004A6CEE">
              <w:rPr>
                <w:rFonts w:ascii="Calibri" w:eastAsia="Times New Roman" w:hAnsi="Calibri" w:cs="Times New Roman"/>
                <w:sz w:val="16"/>
                <w:szCs w:val="16"/>
                <w:lang w:val="en-NZ" w:eastAsia="en-NZ"/>
              </w:rPr>
              <w:t> </w:t>
            </w:r>
          </w:p>
          <w:p w:rsidR="00EB7729" w:rsidRDefault="00EB7729" w:rsidP="00FB22A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val="en-NZ" w:eastAsia="en-NZ"/>
              </w:rPr>
            </w:pPr>
          </w:p>
          <w:p w:rsidR="00EB7729" w:rsidRDefault="00EB7729" w:rsidP="00FB22A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val="en-NZ" w:eastAsia="en-NZ"/>
              </w:rPr>
            </w:pPr>
          </w:p>
          <w:p w:rsidR="00EB7729" w:rsidRDefault="00EB7729" w:rsidP="00FB22A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val="en-NZ" w:eastAsia="en-NZ"/>
              </w:rPr>
            </w:pPr>
          </w:p>
          <w:p w:rsidR="00EB7729" w:rsidRPr="00972CA1" w:rsidRDefault="00EB7729" w:rsidP="00FB22A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val="en-NZ" w:eastAsia="en-NZ"/>
              </w:rPr>
            </w:pPr>
          </w:p>
        </w:tc>
        <w:tc>
          <w:tcPr>
            <w:tcW w:w="1276" w:type="dxa"/>
            <w:vMerge w:val="restart"/>
            <w:shd w:val="clear" w:color="000000" w:fill="FFFFFF"/>
            <w:noWrap/>
          </w:tcPr>
          <w:p w:rsidR="00EB7729" w:rsidRPr="0093495D" w:rsidRDefault="004A1365" w:rsidP="00FB22A1">
            <w:pPr>
              <w:rPr>
                <w:rFonts w:cstheme="minorHAnsi"/>
                <w:sz w:val="20"/>
                <w:szCs w:val="20"/>
              </w:rPr>
            </w:pPr>
            <w:r w:rsidRPr="0093495D">
              <w:rPr>
                <w:rFonts w:cstheme="minorHAnsi"/>
                <w:sz w:val="20"/>
                <w:szCs w:val="20"/>
              </w:rPr>
              <w:t>Achieved</w:t>
            </w:r>
          </w:p>
          <w:p w:rsidR="00EB7729" w:rsidRPr="0093495D" w:rsidRDefault="00EB7729" w:rsidP="00FB22A1">
            <w:pPr>
              <w:rPr>
                <w:rFonts w:cstheme="minorHAnsi"/>
                <w:sz w:val="20"/>
                <w:szCs w:val="20"/>
              </w:rPr>
            </w:pPr>
          </w:p>
          <w:p w:rsidR="00EB7729" w:rsidRPr="0093495D" w:rsidRDefault="00EB7729" w:rsidP="00FB22A1">
            <w:pPr>
              <w:rPr>
                <w:rFonts w:cstheme="minorHAnsi"/>
                <w:sz w:val="20"/>
                <w:szCs w:val="20"/>
              </w:rPr>
            </w:pPr>
          </w:p>
          <w:p w:rsidR="00EB7729" w:rsidRPr="0093495D" w:rsidRDefault="00EB7729" w:rsidP="00FB22A1">
            <w:pPr>
              <w:rPr>
                <w:rFonts w:cstheme="minorHAnsi"/>
                <w:sz w:val="20"/>
                <w:szCs w:val="20"/>
              </w:rPr>
            </w:pPr>
          </w:p>
          <w:p w:rsidR="00EB7729" w:rsidRPr="0093495D" w:rsidRDefault="00EB7729" w:rsidP="00FB22A1">
            <w:pPr>
              <w:rPr>
                <w:rFonts w:cstheme="minorHAnsi"/>
                <w:sz w:val="20"/>
                <w:szCs w:val="20"/>
              </w:rPr>
            </w:pPr>
          </w:p>
          <w:p w:rsidR="00EB7729" w:rsidRPr="0093495D" w:rsidRDefault="00EB7729" w:rsidP="00FB22A1">
            <w:pPr>
              <w:rPr>
                <w:rFonts w:cstheme="minorHAnsi"/>
                <w:sz w:val="20"/>
                <w:szCs w:val="20"/>
              </w:rPr>
            </w:pPr>
          </w:p>
          <w:p w:rsidR="00EB7729" w:rsidRPr="0093495D" w:rsidRDefault="00EB7729" w:rsidP="00FB22A1">
            <w:pPr>
              <w:rPr>
                <w:rFonts w:cstheme="minorHAnsi"/>
                <w:sz w:val="20"/>
                <w:szCs w:val="20"/>
              </w:rPr>
            </w:pPr>
          </w:p>
          <w:p w:rsidR="00EB7729" w:rsidRPr="0093495D" w:rsidRDefault="00EB7729" w:rsidP="00FB22A1">
            <w:pPr>
              <w:rPr>
                <w:rFonts w:cstheme="minorHAnsi"/>
                <w:sz w:val="20"/>
                <w:szCs w:val="20"/>
              </w:rPr>
            </w:pPr>
          </w:p>
          <w:p w:rsidR="00EB7729" w:rsidRPr="0093495D" w:rsidRDefault="00EB7729" w:rsidP="00FB22A1">
            <w:pPr>
              <w:rPr>
                <w:rFonts w:cstheme="minorHAnsi"/>
                <w:sz w:val="20"/>
                <w:szCs w:val="20"/>
              </w:rPr>
            </w:pPr>
          </w:p>
          <w:p w:rsidR="00EB7729" w:rsidRPr="0093495D" w:rsidRDefault="00EB7729" w:rsidP="00FB22A1">
            <w:pPr>
              <w:rPr>
                <w:rFonts w:cstheme="minorHAnsi"/>
                <w:sz w:val="20"/>
                <w:szCs w:val="20"/>
              </w:rPr>
            </w:pPr>
          </w:p>
          <w:p w:rsidR="00EB7729" w:rsidRPr="0093495D" w:rsidRDefault="00EB7729" w:rsidP="00FB22A1">
            <w:pPr>
              <w:rPr>
                <w:rFonts w:cstheme="minorHAnsi"/>
                <w:sz w:val="20"/>
                <w:szCs w:val="20"/>
              </w:rPr>
            </w:pPr>
          </w:p>
          <w:p w:rsidR="00EB7729" w:rsidRPr="0093495D" w:rsidRDefault="00EB7729" w:rsidP="00FB22A1">
            <w:pPr>
              <w:rPr>
                <w:rFonts w:cstheme="minorHAnsi"/>
                <w:sz w:val="20"/>
                <w:szCs w:val="20"/>
              </w:rPr>
            </w:pPr>
          </w:p>
          <w:p w:rsidR="00EB7729" w:rsidRPr="0093495D" w:rsidRDefault="00EB7729" w:rsidP="00FB22A1">
            <w:pPr>
              <w:rPr>
                <w:rFonts w:cstheme="minorHAnsi"/>
                <w:sz w:val="20"/>
                <w:szCs w:val="20"/>
              </w:rPr>
            </w:pPr>
          </w:p>
          <w:p w:rsidR="00EB7729" w:rsidRPr="0093495D" w:rsidRDefault="00EB7729" w:rsidP="00FB22A1">
            <w:pPr>
              <w:rPr>
                <w:rFonts w:cstheme="minorHAnsi"/>
                <w:sz w:val="20"/>
                <w:szCs w:val="20"/>
              </w:rPr>
            </w:pPr>
          </w:p>
          <w:p w:rsidR="00EB7729" w:rsidRPr="0093495D" w:rsidRDefault="00EB7729" w:rsidP="00FB22A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8" w:type="dxa"/>
            <w:vMerge w:val="restart"/>
            <w:shd w:val="clear" w:color="000000" w:fill="FFFFFF"/>
            <w:noWrap/>
          </w:tcPr>
          <w:p w:rsidR="00EB7729" w:rsidRPr="0093495D" w:rsidRDefault="004A1365" w:rsidP="00FB22A1">
            <w:pPr>
              <w:rPr>
                <w:rFonts w:cstheme="minorHAnsi"/>
                <w:sz w:val="20"/>
                <w:szCs w:val="20"/>
              </w:rPr>
            </w:pPr>
            <w:r w:rsidRPr="0093495D">
              <w:rPr>
                <w:rFonts w:cstheme="minorHAnsi"/>
                <w:sz w:val="20"/>
                <w:szCs w:val="20"/>
              </w:rPr>
              <w:t>Achieved</w:t>
            </w:r>
          </w:p>
          <w:p w:rsidR="00EB7729" w:rsidRPr="0093495D" w:rsidRDefault="00EB7729" w:rsidP="00FB22A1">
            <w:pPr>
              <w:rPr>
                <w:rFonts w:cstheme="minorHAnsi"/>
                <w:sz w:val="20"/>
                <w:szCs w:val="20"/>
              </w:rPr>
            </w:pPr>
          </w:p>
          <w:p w:rsidR="00EB7729" w:rsidRPr="0093495D" w:rsidRDefault="00EB7729" w:rsidP="00FB22A1">
            <w:pPr>
              <w:rPr>
                <w:rFonts w:cstheme="minorHAnsi"/>
                <w:sz w:val="20"/>
                <w:szCs w:val="20"/>
              </w:rPr>
            </w:pPr>
          </w:p>
          <w:p w:rsidR="00EB7729" w:rsidRPr="0093495D" w:rsidRDefault="00EB7729" w:rsidP="00FB22A1">
            <w:pPr>
              <w:rPr>
                <w:rFonts w:cstheme="minorHAnsi"/>
                <w:sz w:val="20"/>
                <w:szCs w:val="20"/>
              </w:rPr>
            </w:pPr>
          </w:p>
          <w:p w:rsidR="00EB7729" w:rsidRPr="0093495D" w:rsidRDefault="00EB7729" w:rsidP="00FB22A1">
            <w:pPr>
              <w:rPr>
                <w:rFonts w:cstheme="minorHAnsi"/>
                <w:sz w:val="20"/>
                <w:szCs w:val="20"/>
              </w:rPr>
            </w:pPr>
          </w:p>
          <w:p w:rsidR="00EB7729" w:rsidRPr="0093495D" w:rsidRDefault="00EB7729" w:rsidP="00FB22A1">
            <w:pPr>
              <w:rPr>
                <w:rFonts w:cstheme="minorHAnsi"/>
                <w:sz w:val="20"/>
                <w:szCs w:val="20"/>
              </w:rPr>
            </w:pPr>
          </w:p>
          <w:p w:rsidR="00EB7729" w:rsidRPr="0093495D" w:rsidRDefault="00EB7729" w:rsidP="00FB22A1">
            <w:pPr>
              <w:rPr>
                <w:rFonts w:cstheme="minorHAnsi"/>
                <w:sz w:val="20"/>
                <w:szCs w:val="20"/>
              </w:rPr>
            </w:pPr>
          </w:p>
          <w:p w:rsidR="00EB7729" w:rsidRPr="0093495D" w:rsidRDefault="00EB7729" w:rsidP="00FB22A1">
            <w:pPr>
              <w:rPr>
                <w:rFonts w:cstheme="minorHAnsi"/>
                <w:sz w:val="20"/>
                <w:szCs w:val="20"/>
              </w:rPr>
            </w:pPr>
          </w:p>
          <w:p w:rsidR="00EB7729" w:rsidRPr="0093495D" w:rsidRDefault="00EB7729" w:rsidP="00FB22A1">
            <w:pPr>
              <w:rPr>
                <w:rFonts w:cstheme="minorHAnsi"/>
                <w:sz w:val="20"/>
                <w:szCs w:val="20"/>
              </w:rPr>
            </w:pPr>
          </w:p>
          <w:p w:rsidR="00EB7729" w:rsidRPr="0093495D" w:rsidRDefault="00EB7729" w:rsidP="00FB22A1">
            <w:pPr>
              <w:rPr>
                <w:rFonts w:cstheme="minorHAnsi"/>
                <w:sz w:val="20"/>
                <w:szCs w:val="20"/>
              </w:rPr>
            </w:pPr>
          </w:p>
          <w:p w:rsidR="00EB7729" w:rsidRPr="0093495D" w:rsidRDefault="00EB7729" w:rsidP="00FB22A1">
            <w:pPr>
              <w:rPr>
                <w:rFonts w:cstheme="minorHAnsi"/>
                <w:sz w:val="20"/>
                <w:szCs w:val="20"/>
              </w:rPr>
            </w:pPr>
          </w:p>
          <w:p w:rsidR="00EB7729" w:rsidRPr="0093495D" w:rsidRDefault="00EB7729" w:rsidP="00FB22A1">
            <w:pPr>
              <w:rPr>
                <w:rFonts w:cstheme="minorHAnsi"/>
                <w:sz w:val="20"/>
                <w:szCs w:val="20"/>
              </w:rPr>
            </w:pPr>
          </w:p>
          <w:p w:rsidR="00EB7729" w:rsidRPr="0093495D" w:rsidRDefault="00EB7729" w:rsidP="00FB22A1">
            <w:pPr>
              <w:rPr>
                <w:rFonts w:cstheme="minorHAnsi"/>
                <w:sz w:val="20"/>
                <w:szCs w:val="20"/>
              </w:rPr>
            </w:pPr>
          </w:p>
          <w:p w:rsidR="00EB7729" w:rsidRPr="0093495D" w:rsidRDefault="00EB7729" w:rsidP="00FB22A1">
            <w:pPr>
              <w:rPr>
                <w:rFonts w:cstheme="minorHAnsi"/>
                <w:sz w:val="20"/>
                <w:szCs w:val="20"/>
              </w:rPr>
            </w:pPr>
          </w:p>
          <w:p w:rsidR="00EB7729" w:rsidRPr="0093495D" w:rsidRDefault="00EB7729" w:rsidP="00FB22A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000000" w:fill="FFFFFF"/>
            <w:noWrap/>
          </w:tcPr>
          <w:p w:rsidR="00EB7729" w:rsidRPr="0093495D" w:rsidRDefault="004A1365" w:rsidP="00FB22A1">
            <w:pPr>
              <w:rPr>
                <w:rFonts w:cstheme="minorHAnsi"/>
                <w:sz w:val="20"/>
                <w:szCs w:val="20"/>
              </w:rPr>
            </w:pPr>
            <w:r w:rsidRPr="0093495D">
              <w:rPr>
                <w:rFonts w:cstheme="minorHAnsi"/>
                <w:sz w:val="20"/>
                <w:szCs w:val="20"/>
              </w:rPr>
              <w:t>Achieved</w:t>
            </w:r>
          </w:p>
          <w:p w:rsidR="00EB7729" w:rsidRPr="0093495D" w:rsidRDefault="00EB7729" w:rsidP="00FB22A1">
            <w:pPr>
              <w:rPr>
                <w:rFonts w:cstheme="minorHAnsi"/>
                <w:sz w:val="20"/>
                <w:szCs w:val="20"/>
              </w:rPr>
            </w:pPr>
          </w:p>
          <w:p w:rsidR="00EB7729" w:rsidRPr="0093495D" w:rsidRDefault="00EB7729" w:rsidP="00FB22A1">
            <w:pPr>
              <w:rPr>
                <w:rFonts w:cstheme="minorHAnsi"/>
                <w:sz w:val="20"/>
                <w:szCs w:val="20"/>
              </w:rPr>
            </w:pPr>
          </w:p>
          <w:p w:rsidR="00EB7729" w:rsidRPr="0093495D" w:rsidRDefault="00EB7729" w:rsidP="00FB22A1">
            <w:pPr>
              <w:rPr>
                <w:rFonts w:cstheme="minorHAnsi"/>
                <w:sz w:val="20"/>
                <w:szCs w:val="20"/>
              </w:rPr>
            </w:pPr>
          </w:p>
          <w:p w:rsidR="00EB7729" w:rsidRPr="0093495D" w:rsidRDefault="00EB7729" w:rsidP="00FB22A1">
            <w:pPr>
              <w:rPr>
                <w:rFonts w:cstheme="minorHAnsi"/>
                <w:sz w:val="20"/>
                <w:szCs w:val="20"/>
              </w:rPr>
            </w:pPr>
          </w:p>
          <w:p w:rsidR="00EB7729" w:rsidRPr="0093495D" w:rsidRDefault="00EB7729" w:rsidP="00FB22A1">
            <w:pPr>
              <w:rPr>
                <w:rFonts w:cstheme="minorHAnsi"/>
                <w:sz w:val="20"/>
                <w:szCs w:val="20"/>
              </w:rPr>
            </w:pPr>
          </w:p>
          <w:p w:rsidR="00EB7729" w:rsidRPr="0093495D" w:rsidRDefault="00EB7729" w:rsidP="00FB22A1">
            <w:pPr>
              <w:rPr>
                <w:rFonts w:cstheme="minorHAnsi"/>
                <w:sz w:val="20"/>
                <w:szCs w:val="20"/>
              </w:rPr>
            </w:pPr>
          </w:p>
          <w:p w:rsidR="00EB7729" w:rsidRPr="0093495D" w:rsidRDefault="00EB7729" w:rsidP="00FB22A1">
            <w:pPr>
              <w:rPr>
                <w:rFonts w:cstheme="minorHAnsi"/>
                <w:sz w:val="20"/>
                <w:szCs w:val="20"/>
              </w:rPr>
            </w:pPr>
          </w:p>
          <w:p w:rsidR="00EB7729" w:rsidRPr="0093495D" w:rsidRDefault="00EB7729" w:rsidP="00FB22A1">
            <w:pPr>
              <w:rPr>
                <w:rFonts w:cstheme="minorHAnsi"/>
                <w:sz w:val="20"/>
                <w:szCs w:val="20"/>
              </w:rPr>
            </w:pPr>
          </w:p>
          <w:p w:rsidR="00EB7729" w:rsidRPr="0093495D" w:rsidRDefault="00EB7729" w:rsidP="00FB22A1">
            <w:pPr>
              <w:rPr>
                <w:rFonts w:cstheme="minorHAnsi"/>
                <w:sz w:val="20"/>
                <w:szCs w:val="20"/>
              </w:rPr>
            </w:pPr>
          </w:p>
          <w:p w:rsidR="00EB7729" w:rsidRPr="0093495D" w:rsidRDefault="00EB7729" w:rsidP="00FB22A1">
            <w:pPr>
              <w:rPr>
                <w:rFonts w:cstheme="minorHAnsi"/>
                <w:sz w:val="20"/>
                <w:szCs w:val="20"/>
              </w:rPr>
            </w:pPr>
          </w:p>
          <w:p w:rsidR="00EB7729" w:rsidRPr="0093495D" w:rsidRDefault="00EB7729" w:rsidP="00FB22A1">
            <w:pPr>
              <w:rPr>
                <w:rFonts w:cstheme="minorHAnsi"/>
                <w:sz w:val="20"/>
                <w:szCs w:val="20"/>
              </w:rPr>
            </w:pPr>
          </w:p>
          <w:p w:rsidR="00EB7729" w:rsidRPr="0093495D" w:rsidRDefault="00EB7729" w:rsidP="00FB22A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000000" w:fill="FFFFFF"/>
            <w:noWrap/>
          </w:tcPr>
          <w:p w:rsidR="00EB7729" w:rsidRPr="0093495D" w:rsidRDefault="004A1365" w:rsidP="00FB22A1">
            <w:pPr>
              <w:rPr>
                <w:rFonts w:cstheme="minorHAnsi"/>
                <w:sz w:val="20"/>
                <w:szCs w:val="20"/>
              </w:rPr>
            </w:pPr>
            <w:r w:rsidRPr="0093495D">
              <w:rPr>
                <w:rFonts w:cstheme="minorHAnsi"/>
                <w:sz w:val="20"/>
                <w:szCs w:val="20"/>
              </w:rPr>
              <w:t>Achieved</w:t>
            </w:r>
          </w:p>
          <w:p w:rsidR="00EB7729" w:rsidRPr="0093495D" w:rsidRDefault="00EB7729" w:rsidP="00FB22A1">
            <w:pPr>
              <w:rPr>
                <w:rFonts w:cstheme="minorHAnsi"/>
                <w:sz w:val="20"/>
                <w:szCs w:val="20"/>
              </w:rPr>
            </w:pPr>
          </w:p>
          <w:p w:rsidR="00EB7729" w:rsidRPr="0093495D" w:rsidRDefault="00EB7729" w:rsidP="00FB22A1">
            <w:pPr>
              <w:rPr>
                <w:rFonts w:cstheme="minorHAnsi"/>
                <w:sz w:val="20"/>
                <w:szCs w:val="20"/>
              </w:rPr>
            </w:pPr>
          </w:p>
          <w:p w:rsidR="00EB7729" w:rsidRPr="0093495D" w:rsidRDefault="00EB7729" w:rsidP="00FB22A1">
            <w:pPr>
              <w:rPr>
                <w:rFonts w:cstheme="minorHAnsi"/>
                <w:sz w:val="20"/>
                <w:szCs w:val="20"/>
              </w:rPr>
            </w:pPr>
          </w:p>
          <w:p w:rsidR="00EB7729" w:rsidRPr="0093495D" w:rsidRDefault="00EB7729" w:rsidP="00FB22A1">
            <w:pPr>
              <w:rPr>
                <w:rFonts w:cstheme="minorHAnsi"/>
                <w:sz w:val="20"/>
                <w:szCs w:val="20"/>
              </w:rPr>
            </w:pPr>
          </w:p>
          <w:p w:rsidR="00EB7729" w:rsidRPr="0093495D" w:rsidRDefault="00EB7729" w:rsidP="00FB22A1">
            <w:pPr>
              <w:rPr>
                <w:rFonts w:cstheme="minorHAnsi"/>
                <w:sz w:val="20"/>
                <w:szCs w:val="20"/>
              </w:rPr>
            </w:pPr>
          </w:p>
          <w:p w:rsidR="00EB7729" w:rsidRPr="0093495D" w:rsidRDefault="00EB7729" w:rsidP="00FB22A1">
            <w:pPr>
              <w:rPr>
                <w:rFonts w:cstheme="minorHAnsi"/>
                <w:sz w:val="20"/>
                <w:szCs w:val="20"/>
              </w:rPr>
            </w:pPr>
          </w:p>
          <w:p w:rsidR="00EB7729" w:rsidRPr="0093495D" w:rsidRDefault="00EB7729" w:rsidP="00FB22A1">
            <w:pPr>
              <w:rPr>
                <w:rFonts w:cstheme="minorHAnsi"/>
                <w:sz w:val="20"/>
                <w:szCs w:val="20"/>
              </w:rPr>
            </w:pPr>
          </w:p>
          <w:p w:rsidR="00EB7729" w:rsidRPr="0093495D" w:rsidRDefault="00EB7729" w:rsidP="00FB22A1">
            <w:pPr>
              <w:rPr>
                <w:rFonts w:cstheme="minorHAnsi"/>
                <w:sz w:val="20"/>
                <w:szCs w:val="20"/>
              </w:rPr>
            </w:pPr>
          </w:p>
          <w:p w:rsidR="00EB7729" w:rsidRPr="0093495D" w:rsidRDefault="00EB7729" w:rsidP="00FB22A1">
            <w:pPr>
              <w:rPr>
                <w:rFonts w:cstheme="minorHAnsi"/>
                <w:sz w:val="20"/>
                <w:szCs w:val="20"/>
              </w:rPr>
            </w:pPr>
          </w:p>
          <w:p w:rsidR="00EB7729" w:rsidRPr="0093495D" w:rsidRDefault="00EB7729" w:rsidP="00FB22A1">
            <w:pPr>
              <w:rPr>
                <w:rFonts w:cstheme="minorHAnsi"/>
                <w:sz w:val="20"/>
                <w:szCs w:val="20"/>
              </w:rPr>
            </w:pPr>
          </w:p>
          <w:p w:rsidR="00EB7729" w:rsidRPr="0093495D" w:rsidRDefault="00EB7729" w:rsidP="00FB22A1">
            <w:pPr>
              <w:rPr>
                <w:rFonts w:cstheme="minorHAnsi"/>
                <w:sz w:val="20"/>
                <w:szCs w:val="20"/>
              </w:rPr>
            </w:pPr>
          </w:p>
          <w:p w:rsidR="00EB7729" w:rsidRPr="0093495D" w:rsidRDefault="00EB7729" w:rsidP="00FB22A1">
            <w:pPr>
              <w:rPr>
                <w:rFonts w:cstheme="minorHAnsi"/>
                <w:sz w:val="20"/>
                <w:szCs w:val="20"/>
              </w:rPr>
            </w:pPr>
          </w:p>
          <w:p w:rsidR="00EB7729" w:rsidRPr="0093495D" w:rsidRDefault="00EB7729" w:rsidP="00FB22A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B7729" w:rsidRPr="009C2554" w:rsidTr="00FB22A1">
        <w:trPr>
          <w:trHeight w:val="5386"/>
        </w:trPr>
        <w:tc>
          <w:tcPr>
            <w:tcW w:w="1276" w:type="dxa"/>
            <w:vMerge/>
            <w:shd w:val="clear" w:color="000000" w:fill="FCD5B4"/>
            <w:vAlign w:val="center"/>
          </w:tcPr>
          <w:p w:rsidR="00EB7729" w:rsidRDefault="00EB7729" w:rsidP="00A84EE1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EB7729" w:rsidRPr="00071BA1" w:rsidRDefault="00EB7729" w:rsidP="00121A0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NZ" w:eastAsia="en-NZ"/>
              </w:rPr>
            </w:pPr>
          </w:p>
        </w:tc>
        <w:tc>
          <w:tcPr>
            <w:tcW w:w="2835" w:type="dxa"/>
            <w:shd w:val="clear" w:color="auto" w:fill="auto"/>
          </w:tcPr>
          <w:p w:rsidR="00EB7729" w:rsidRDefault="00EB7729" w:rsidP="00FB22A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val="en-NZ" w:eastAsia="en-NZ"/>
              </w:rPr>
            </w:pPr>
            <w:r w:rsidRPr="00071BA1">
              <w:rPr>
                <w:rFonts w:ascii="Calibri" w:eastAsia="Times New Roman" w:hAnsi="Calibri" w:cs="Times New Roman"/>
                <w:bCs/>
                <w:sz w:val="20"/>
                <w:szCs w:val="20"/>
                <w:lang w:val="en-NZ" w:eastAsia="en-NZ"/>
              </w:rPr>
              <w:t xml:space="preserve">The EO is leading a coordinated approach to </w:t>
            </w:r>
            <w:r w:rsidR="003908EA">
              <w:rPr>
                <w:rFonts w:ascii="Calibri" w:eastAsia="Times New Roman" w:hAnsi="Calibri" w:cs="Times New Roman"/>
                <w:bCs/>
                <w:sz w:val="20"/>
                <w:szCs w:val="20"/>
                <w:lang w:val="en-NZ" w:eastAsia="en-NZ"/>
              </w:rPr>
              <w:t>enhancing the U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val="en-NZ" w:eastAsia="en-NZ"/>
              </w:rPr>
              <w:t xml:space="preserve">niversity as a </w:t>
            </w:r>
            <w:r w:rsidRPr="00071BA1">
              <w:rPr>
                <w:rFonts w:ascii="Calibri" w:eastAsia="Times New Roman" w:hAnsi="Calibri" w:cs="Times New Roman"/>
                <w:bCs/>
                <w:sz w:val="20"/>
                <w:szCs w:val="20"/>
                <w:lang w:val="en-NZ" w:eastAsia="en-NZ"/>
              </w:rPr>
              <w:t xml:space="preserve">safe, inclusive and equitable environment that supports staff and students with disabilities to achieve their potential at the University. </w:t>
            </w:r>
          </w:p>
          <w:p w:rsidR="00EB7729" w:rsidRDefault="00EB7729" w:rsidP="00FB22A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val="en-NZ" w:eastAsia="en-NZ"/>
              </w:rPr>
            </w:pPr>
          </w:p>
          <w:p w:rsidR="00EB7729" w:rsidRDefault="00EB7729" w:rsidP="00FB22A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val="en-NZ" w:eastAsia="en-NZ"/>
              </w:rPr>
            </w:pPr>
          </w:p>
          <w:p w:rsidR="00EB7729" w:rsidRDefault="00EB7729" w:rsidP="00FB22A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val="en-NZ" w:eastAsia="en-NZ"/>
              </w:rPr>
            </w:pPr>
          </w:p>
          <w:p w:rsidR="00EB7729" w:rsidRDefault="00EB7729" w:rsidP="00FB22A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val="en-NZ" w:eastAsia="en-NZ"/>
              </w:rPr>
            </w:pPr>
          </w:p>
          <w:p w:rsidR="00EB7729" w:rsidRDefault="00EB7729" w:rsidP="00FB22A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val="en-NZ" w:eastAsia="en-NZ"/>
              </w:rPr>
            </w:pPr>
          </w:p>
          <w:p w:rsidR="00EB7729" w:rsidRDefault="00EB7729" w:rsidP="00FB22A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val="en-NZ" w:eastAsia="en-NZ"/>
              </w:rPr>
            </w:pPr>
          </w:p>
          <w:p w:rsidR="00EB7729" w:rsidRPr="00C91C79" w:rsidRDefault="00EB7729" w:rsidP="00FB22A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6"/>
                <w:szCs w:val="20"/>
                <w:lang w:val="en-NZ" w:eastAsia="en-NZ"/>
              </w:rPr>
            </w:pPr>
          </w:p>
          <w:p w:rsidR="00EB7729" w:rsidRDefault="00EB7729" w:rsidP="00FB22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val="en-NZ" w:eastAsia="en-NZ"/>
              </w:rPr>
            </w:pPr>
          </w:p>
          <w:p w:rsidR="00EB7729" w:rsidRDefault="00EB7729" w:rsidP="00FB22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val="en-NZ" w:eastAsia="en-NZ"/>
              </w:rPr>
            </w:pPr>
          </w:p>
          <w:p w:rsidR="00EB7729" w:rsidRDefault="00EB7729" w:rsidP="00FB22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val="en-NZ" w:eastAsia="en-NZ"/>
              </w:rPr>
            </w:pPr>
          </w:p>
          <w:p w:rsidR="00EB7729" w:rsidRDefault="00EB7729" w:rsidP="00FB22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val="en-NZ" w:eastAsia="en-NZ"/>
              </w:rPr>
            </w:pPr>
          </w:p>
          <w:p w:rsidR="00EB7729" w:rsidRDefault="00EB7729" w:rsidP="00FB22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val="en-NZ" w:eastAsia="en-NZ"/>
              </w:rPr>
            </w:pPr>
          </w:p>
          <w:p w:rsidR="00EB7729" w:rsidRDefault="00EB7729" w:rsidP="00FB22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val="en-NZ" w:eastAsia="en-NZ"/>
              </w:rPr>
            </w:pPr>
          </w:p>
          <w:p w:rsidR="00EB7729" w:rsidRDefault="00EB7729" w:rsidP="00FB22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val="en-NZ" w:eastAsia="en-NZ"/>
              </w:rPr>
            </w:pPr>
          </w:p>
          <w:p w:rsidR="00EB7729" w:rsidRDefault="00EB7729" w:rsidP="00FB22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val="en-NZ" w:eastAsia="en-NZ"/>
              </w:rPr>
            </w:pPr>
          </w:p>
          <w:p w:rsidR="00EB7729" w:rsidRDefault="00EB7729" w:rsidP="00FB22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val="en-NZ" w:eastAsia="en-NZ"/>
              </w:rPr>
            </w:pPr>
          </w:p>
          <w:p w:rsidR="00EB7729" w:rsidRDefault="00EB7729" w:rsidP="00FB22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val="en-NZ" w:eastAsia="en-NZ"/>
              </w:rPr>
            </w:pPr>
          </w:p>
          <w:p w:rsidR="00EB7729" w:rsidRDefault="00EB7729" w:rsidP="00FB22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val="en-NZ" w:eastAsia="en-NZ"/>
              </w:rPr>
            </w:pPr>
          </w:p>
          <w:p w:rsidR="00EB7729" w:rsidRPr="00071BA1" w:rsidRDefault="00EB7729" w:rsidP="00FB22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4F81BD"/>
                <w:sz w:val="18"/>
                <w:szCs w:val="18"/>
                <w:lang w:val="en-NZ" w:eastAsia="en-NZ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EB7729" w:rsidRPr="00071BA1" w:rsidRDefault="00EB7729" w:rsidP="00121A0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NZ" w:eastAsia="en-NZ"/>
              </w:rPr>
            </w:pPr>
          </w:p>
        </w:tc>
        <w:tc>
          <w:tcPr>
            <w:tcW w:w="2202" w:type="dxa"/>
            <w:vMerge/>
            <w:shd w:val="clear" w:color="000000" w:fill="FFFFFF"/>
            <w:noWrap/>
            <w:vAlign w:val="center"/>
          </w:tcPr>
          <w:p w:rsidR="00EB7729" w:rsidRPr="00071BA1" w:rsidRDefault="00EB7729" w:rsidP="00071BA1">
            <w:pPr>
              <w:spacing w:after="120" w:line="240" w:lineRule="auto"/>
              <w:rPr>
                <w:rFonts w:cs="Times New Roman"/>
                <w:sz w:val="20"/>
                <w:szCs w:val="20"/>
                <w:lang w:val="en-NZ"/>
              </w:rPr>
            </w:pPr>
          </w:p>
        </w:tc>
        <w:tc>
          <w:tcPr>
            <w:tcW w:w="1276" w:type="dxa"/>
            <w:vMerge/>
            <w:shd w:val="clear" w:color="000000" w:fill="FFFFFF"/>
            <w:noWrap/>
            <w:vAlign w:val="center"/>
          </w:tcPr>
          <w:p w:rsidR="00EB7729" w:rsidRDefault="00EB7729" w:rsidP="00B14D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28" w:type="dxa"/>
            <w:vMerge/>
            <w:shd w:val="clear" w:color="000000" w:fill="FFFFFF"/>
            <w:noWrap/>
            <w:vAlign w:val="center"/>
          </w:tcPr>
          <w:p w:rsidR="00EB7729" w:rsidRDefault="00EB7729" w:rsidP="00B14D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000000" w:fill="FFFFFF"/>
            <w:noWrap/>
            <w:vAlign w:val="center"/>
          </w:tcPr>
          <w:p w:rsidR="00EB7729" w:rsidRDefault="00EB7729" w:rsidP="00B14D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000000" w:fill="FFFFFF"/>
            <w:noWrap/>
            <w:vAlign w:val="center"/>
          </w:tcPr>
          <w:p w:rsidR="00EB7729" w:rsidRDefault="00EB7729" w:rsidP="00B14DE1">
            <w:pPr>
              <w:jc w:val="center"/>
              <w:rPr>
                <w:sz w:val="16"/>
                <w:szCs w:val="16"/>
              </w:rPr>
            </w:pPr>
          </w:p>
        </w:tc>
      </w:tr>
    </w:tbl>
    <w:p w:rsidR="00CD1A31" w:rsidRPr="00913BC1" w:rsidRDefault="00CD1A31" w:rsidP="00CD1A31"/>
    <w:p w:rsidR="00100EA6" w:rsidRPr="00100EA6" w:rsidRDefault="00100EA6" w:rsidP="00100EA6">
      <w:pPr>
        <w:tabs>
          <w:tab w:val="left" w:pos="13207"/>
        </w:tabs>
      </w:pPr>
    </w:p>
    <w:sectPr w:rsidR="00100EA6" w:rsidRPr="00100EA6" w:rsidSect="0006772F">
      <w:pgSz w:w="16838" w:h="11906" w:orient="landscape" w:code="9"/>
      <w:pgMar w:top="28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605" w:rsidRDefault="005A7605" w:rsidP="0094634E">
      <w:pPr>
        <w:spacing w:after="0" w:line="240" w:lineRule="auto"/>
      </w:pPr>
      <w:r>
        <w:separator/>
      </w:r>
    </w:p>
  </w:endnote>
  <w:endnote w:type="continuationSeparator" w:id="0">
    <w:p w:rsidR="005A7605" w:rsidRDefault="005A7605" w:rsidP="00946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673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21A0B" w:rsidRDefault="00121A0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26BE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121A0B" w:rsidRDefault="00121A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605" w:rsidRDefault="005A7605" w:rsidP="0094634E">
      <w:pPr>
        <w:spacing w:after="0" w:line="240" w:lineRule="auto"/>
      </w:pPr>
      <w:r>
        <w:separator/>
      </w:r>
    </w:p>
  </w:footnote>
  <w:footnote w:type="continuationSeparator" w:id="0">
    <w:p w:rsidR="005A7605" w:rsidRDefault="005A7605" w:rsidP="00946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A0B" w:rsidRPr="00913BC1" w:rsidRDefault="000C5AD9" w:rsidP="00913BC1">
    <w:pPr>
      <w:tabs>
        <w:tab w:val="center" w:pos="4513"/>
        <w:tab w:val="right" w:pos="9026"/>
      </w:tabs>
      <w:spacing w:after="0" w:line="240" w:lineRule="auto"/>
      <w:jc w:val="right"/>
      <w:rPr>
        <w:rFonts w:eastAsiaTheme="minorEastAsia"/>
        <w:lang w:val="en-NZ" w:eastAsia="en-NZ"/>
      </w:rPr>
    </w:pPr>
    <w:r>
      <w:rPr>
        <w:rFonts w:eastAsiaTheme="minorEastAsia"/>
        <w:lang w:val="en-NZ" w:eastAsia="en-NZ"/>
      </w:rPr>
      <w:t>2017 Report</w:t>
    </w:r>
    <w:r w:rsidR="00121A0B">
      <w:rPr>
        <w:rFonts w:eastAsiaTheme="minorEastAsia"/>
        <w:lang w:val="en-NZ" w:eastAsia="en-NZ"/>
      </w:rPr>
      <w:t>– Equity Office – Te Ara Tautika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D0B99"/>
    <w:multiLevelType w:val="hybridMultilevel"/>
    <w:tmpl w:val="A600EF5C"/>
    <w:lvl w:ilvl="0" w:tplc="14090001">
      <w:start w:val="1"/>
      <w:numFmt w:val="bullet"/>
      <w:lvlText w:val=""/>
      <w:lvlJc w:val="left"/>
      <w:pPr>
        <w:ind w:left="1858" w:hanging="360"/>
      </w:pPr>
      <w:rPr>
        <w:rFonts w:ascii="Symbol" w:hAnsi="Symbol" w:hint="default"/>
        <w:sz w:val="16"/>
      </w:rPr>
    </w:lvl>
    <w:lvl w:ilvl="1" w:tplc="1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 w15:restartNumberingAfterBreak="0">
    <w:nsid w:val="011B16BC"/>
    <w:multiLevelType w:val="hybridMultilevel"/>
    <w:tmpl w:val="A7C234D0"/>
    <w:lvl w:ilvl="0" w:tplc="F23A5942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397" w:hanging="360"/>
      </w:pPr>
    </w:lvl>
    <w:lvl w:ilvl="2" w:tplc="1409001B" w:tentative="1">
      <w:start w:val="1"/>
      <w:numFmt w:val="lowerRoman"/>
      <w:lvlText w:val="%3."/>
      <w:lvlJc w:val="right"/>
      <w:pPr>
        <w:ind w:left="2117" w:hanging="180"/>
      </w:pPr>
    </w:lvl>
    <w:lvl w:ilvl="3" w:tplc="1409000F" w:tentative="1">
      <w:start w:val="1"/>
      <w:numFmt w:val="decimal"/>
      <w:lvlText w:val="%4."/>
      <w:lvlJc w:val="left"/>
      <w:pPr>
        <w:ind w:left="2837" w:hanging="360"/>
      </w:pPr>
    </w:lvl>
    <w:lvl w:ilvl="4" w:tplc="14090019" w:tentative="1">
      <w:start w:val="1"/>
      <w:numFmt w:val="lowerLetter"/>
      <w:lvlText w:val="%5."/>
      <w:lvlJc w:val="left"/>
      <w:pPr>
        <w:ind w:left="3557" w:hanging="360"/>
      </w:pPr>
    </w:lvl>
    <w:lvl w:ilvl="5" w:tplc="1409001B" w:tentative="1">
      <w:start w:val="1"/>
      <w:numFmt w:val="lowerRoman"/>
      <w:lvlText w:val="%6."/>
      <w:lvlJc w:val="right"/>
      <w:pPr>
        <w:ind w:left="4277" w:hanging="180"/>
      </w:pPr>
    </w:lvl>
    <w:lvl w:ilvl="6" w:tplc="1409000F" w:tentative="1">
      <w:start w:val="1"/>
      <w:numFmt w:val="decimal"/>
      <w:lvlText w:val="%7."/>
      <w:lvlJc w:val="left"/>
      <w:pPr>
        <w:ind w:left="4997" w:hanging="360"/>
      </w:pPr>
    </w:lvl>
    <w:lvl w:ilvl="7" w:tplc="14090019" w:tentative="1">
      <w:start w:val="1"/>
      <w:numFmt w:val="lowerLetter"/>
      <w:lvlText w:val="%8."/>
      <w:lvlJc w:val="left"/>
      <w:pPr>
        <w:ind w:left="5717" w:hanging="360"/>
      </w:pPr>
    </w:lvl>
    <w:lvl w:ilvl="8" w:tplc="1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" w15:restartNumberingAfterBreak="0">
    <w:nsid w:val="06715CFC"/>
    <w:multiLevelType w:val="hybridMultilevel"/>
    <w:tmpl w:val="E29AA8FE"/>
    <w:lvl w:ilvl="0" w:tplc="1409000F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603C9"/>
    <w:multiLevelType w:val="hybridMultilevel"/>
    <w:tmpl w:val="D75EE5D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850F0"/>
    <w:multiLevelType w:val="hybridMultilevel"/>
    <w:tmpl w:val="BB7E6B1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ED5B2D"/>
    <w:multiLevelType w:val="hybridMultilevel"/>
    <w:tmpl w:val="0764E2C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44D2C"/>
    <w:multiLevelType w:val="hybridMultilevel"/>
    <w:tmpl w:val="0F9656C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CB3AA0"/>
    <w:multiLevelType w:val="hybridMultilevel"/>
    <w:tmpl w:val="B2D89EF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D61468"/>
    <w:multiLevelType w:val="hybridMultilevel"/>
    <w:tmpl w:val="2CA28C8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476E8B"/>
    <w:multiLevelType w:val="hybridMultilevel"/>
    <w:tmpl w:val="7390D6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F544D5"/>
    <w:multiLevelType w:val="hybridMultilevel"/>
    <w:tmpl w:val="AC08313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212BD9"/>
    <w:multiLevelType w:val="hybridMultilevel"/>
    <w:tmpl w:val="A8343DD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5A728C"/>
    <w:multiLevelType w:val="hybridMultilevel"/>
    <w:tmpl w:val="7982D87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743FCB"/>
    <w:multiLevelType w:val="hybridMultilevel"/>
    <w:tmpl w:val="61DCC00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E23299"/>
    <w:multiLevelType w:val="hybridMultilevel"/>
    <w:tmpl w:val="E29AA8FE"/>
    <w:lvl w:ilvl="0" w:tplc="1409000F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AA2599"/>
    <w:multiLevelType w:val="hybridMultilevel"/>
    <w:tmpl w:val="1CB0E318"/>
    <w:lvl w:ilvl="0" w:tplc="71C40F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4B53D4A"/>
    <w:multiLevelType w:val="hybridMultilevel"/>
    <w:tmpl w:val="0F9656C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784A78"/>
    <w:multiLevelType w:val="hybridMultilevel"/>
    <w:tmpl w:val="883E5D36"/>
    <w:lvl w:ilvl="0" w:tplc="7C58C282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260A5E"/>
    <w:multiLevelType w:val="hybridMultilevel"/>
    <w:tmpl w:val="E81AF52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596BA1"/>
    <w:multiLevelType w:val="hybridMultilevel"/>
    <w:tmpl w:val="88B4E7E4"/>
    <w:lvl w:ilvl="0" w:tplc="47F4CF62">
      <w:start w:val="2018"/>
      <w:numFmt w:val="bullet"/>
      <w:lvlText w:val="-"/>
      <w:lvlJc w:val="left"/>
      <w:pPr>
        <w:ind w:left="360" w:hanging="360"/>
      </w:pPr>
      <w:rPr>
        <w:rFonts w:ascii="Verdana" w:eastAsiaTheme="majorEastAsia" w:hAnsi="Verdana" w:cstheme="majorBidi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CC76521"/>
    <w:multiLevelType w:val="hybridMultilevel"/>
    <w:tmpl w:val="99A2586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8B0DFF"/>
    <w:multiLevelType w:val="hybridMultilevel"/>
    <w:tmpl w:val="3F6A11AA"/>
    <w:lvl w:ilvl="0" w:tplc="1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40DC050A"/>
    <w:multiLevelType w:val="hybridMultilevel"/>
    <w:tmpl w:val="1F5C754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374A87"/>
    <w:multiLevelType w:val="hybridMultilevel"/>
    <w:tmpl w:val="5106EB5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D856CF"/>
    <w:multiLevelType w:val="hybridMultilevel"/>
    <w:tmpl w:val="19DA08E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0F0A3D"/>
    <w:multiLevelType w:val="hybridMultilevel"/>
    <w:tmpl w:val="1EA0567E"/>
    <w:lvl w:ilvl="0" w:tplc="6EFC452C">
      <w:numFmt w:val="bullet"/>
      <w:lvlText w:val="-"/>
      <w:lvlJc w:val="left"/>
      <w:pPr>
        <w:ind w:left="1794" w:hanging="360"/>
      </w:pPr>
      <w:rPr>
        <w:rFonts w:ascii="Verdana" w:eastAsiaTheme="minorHAnsi" w:hAnsi="Verdana" w:cstheme="minorBidi" w:hint="default"/>
        <w:sz w:val="16"/>
      </w:rPr>
    </w:lvl>
    <w:lvl w:ilvl="1" w:tplc="1409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26" w15:restartNumberingAfterBreak="0">
    <w:nsid w:val="484C562A"/>
    <w:multiLevelType w:val="hybridMultilevel"/>
    <w:tmpl w:val="8D209E2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BF70AD"/>
    <w:multiLevelType w:val="hybridMultilevel"/>
    <w:tmpl w:val="27EA99F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450A14"/>
    <w:multiLevelType w:val="hybridMultilevel"/>
    <w:tmpl w:val="A7D073B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5953B9"/>
    <w:multiLevelType w:val="hybridMultilevel"/>
    <w:tmpl w:val="A3E031A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EE0044"/>
    <w:multiLevelType w:val="hybridMultilevel"/>
    <w:tmpl w:val="A57C1828"/>
    <w:lvl w:ilvl="0" w:tplc="68B6902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09619B"/>
    <w:multiLevelType w:val="hybridMultilevel"/>
    <w:tmpl w:val="E9FAC5B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BC0155"/>
    <w:multiLevelType w:val="hybridMultilevel"/>
    <w:tmpl w:val="A5A06206"/>
    <w:lvl w:ilvl="0" w:tplc="E7EE19D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B84583"/>
    <w:multiLevelType w:val="hybridMultilevel"/>
    <w:tmpl w:val="0A0822D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135CCC"/>
    <w:multiLevelType w:val="hybridMultilevel"/>
    <w:tmpl w:val="D196E4C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A11E99"/>
    <w:multiLevelType w:val="hybridMultilevel"/>
    <w:tmpl w:val="D44AA7EE"/>
    <w:lvl w:ilvl="0" w:tplc="1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647" w:hanging="360"/>
      </w:pPr>
    </w:lvl>
    <w:lvl w:ilvl="2" w:tplc="1409001B" w:tentative="1">
      <w:start w:val="1"/>
      <w:numFmt w:val="lowerRoman"/>
      <w:lvlText w:val="%3."/>
      <w:lvlJc w:val="right"/>
      <w:pPr>
        <w:ind w:left="2367" w:hanging="180"/>
      </w:pPr>
    </w:lvl>
    <w:lvl w:ilvl="3" w:tplc="1409000F" w:tentative="1">
      <w:start w:val="1"/>
      <w:numFmt w:val="decimal"/>
      <w:lvlText w:val="%4."/>
      <w:lvlJc w:val="left"/>
      <w:pPr>
        <w:ind w:left="3087" w:hanging="360"/>
      </w:pPr>
    </w:lvl>
    <w:lvl w:ilvl="4" w:tplc="14090019" w:tentative="1">
      <w:start w:val="1"/>
      <w:numFmt w:val="lowerLetter"/>
      <w:lvlText w:val="%5."/>
      <w:lvlJc w:val="left"/>
      <w:pPr>
        <w:ind w:left="3807" w:hanging="360"/>
      </w:pPr>
    </w:lvl>
    <w:lvl w:ilvl="5" w:tplc="1409001B" w:tentative="1">
      <w:start w:val="1"/>
      <w:numFmt w:val="lowerRoman"/>
      <w:lvlText w:val="%6."/>
      <w:lvlJc w:val="right"/>
      <w:pPr>
        <w:ind w:left="4527" w:hanging="180"/>
      </w:pPr>
    </w:lvl>
    <w:lvl w:ilvl="6" w:tplc="1409000F" w:tentative="1">
      <w:start w:val="1"/>
      <w:numFmt w:val="decimal"/>
      <w:lvlText w:val="%7."/>
      <w:lvlJc w:val="left"/>
      <w:pPr>
        <w:ind w:left="5247" w:hanging="360"/>
      </w:pPr>
    </w:lvl>
    <w:lvl w:ilvl="7" w:tplc="14090019" w:tentative="1">
      <w:start w:val="1"/>
      <w:numFmt w:val="lowerLetter"/>
      <w:lvlText w:val="%8."/>
      <w:lvlJc w:val="left"/>
      <w:pPr>
        <w:ind w:left="5967" w:hanging="360"/>
      </w:pPr>
    </w:lvl>
    <w:lvl w:ilvl="8" w:tplc="1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70E13CC7"/>
    <w:multiLevelType w:val="hybridMultilevel"/>
    <w:tmpl w:val="C486D4D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58352F"/>
    <w:multiLevelType w:val="hybridMultilevel"/>
    <w:tmpl w:val="FCCCA2B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7F0C97"/>
    <w:multiLevelType w:val="hybridMultilevel"/>
    <w:tmpl w:val="39C0CCE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7"/>
  </w:num>
  <w:num w:numId="4">
    <w:abstractNumId w:val="9"/>
  </w:num>
  <w:num w:numId="5">
    <w:abstractNumId w:val="8"/>
  </w:num>
  <w:num w:numId="6">
    <w:abstractNumId w:val="31"/>
  </w:num>
  <w:num w:numId="7">
    <w:abstractNumId w:val="20"/>
  </w:num>
  <w:num w:numId="8">
    <w:abstractNumId w:val="36"/>
  </w:num>
  <w:num w:numId="9">
    <w:abstractNumId w:val="29"/>
  </w:num>
  <w:num w:numId="10">
    <w:abstractNumId w:val="34"/>
  </w:num>
  <w:num w:numId="11">
    <w:abstractNumId w:val="17"/>
  </w:num>
  <w:num w:numId="12">
    <w:abstractNumId w:val="2"/>
  </w:num>
  <w:num w:numId="13">
    <w:abstractNumId w:val="37"/>
  </w:num>
  <w:num w:numId="14">
    <w:abstractNumId w:val="23"/>
  </w:num>
  <w:num w:numId="15">
    <w:abstractNumId w:val="35"/>
  </w:num>
  <w:num w:numId="16">
    <w:abstractNumId w:val="28"/>
  </w:num>
  <w:num w:numId="17">
    <w:abstractNumId w:val="33"/>
  </w:num>
  <w:num w:numId="18">
    <w:abstractNumId w:val="22"/>
  </w:num>
  <w:num w:numId="19">
    <w:abstractNumId w:val="11"/>
  </w:num>
  <w:num w:numId="20">
    <w:abstractNumId w:val="16"/>
  </w:num>
  <w:num w:numId="21">
    <w:abstractNumId w:val="6"/>
  </w:num>
  <w:num w:numId="22">
    <w:abstractNumId w:val="1"/>
  </w:num>
  <w:num w:numId="23">
    <w:abstractNumId w:val="14"/>
  </w:num>
  <w:num w:numId="24">
    <w:abstractNumId w:val="15"/>
  </w:num>
  <w:num w:numId="25">
    <w:abstractNumId w:val="32"/>
  </w:num>
  <w:num w:numId="26">
    <w:abstractNumId w:val="30"/>
  </w:num>
  <w:num w:numId="27">
    <w:abstractNumId w:val="18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21"/>
  </w:num>
  <w:num w:numId="31">
    <w:abstractNumId w:val="10"/>
  </w:num>
  <w:num w:numId="32">
    <w:abstractNumId w:val="26"/>
  </w:num>
  <w:num w:numId="33">
    <w:abstractNumId w:val="25"/>
  </w:num>
  <w:num w:numId="34">
    <w:abstractNumId w:val="0"/>
  </w:num>
  <w:num w:numId="35">
    <w:abstractNumId w:val="27"/>
  </w:num>
  <w:num w:numId="36">
    <w:abstractNumId w:val="4"/>
  </w:num>
  <w:num w:numId="37">
    <w:abstractNumId w:val="38"/>
  </w:num>
  <w:num w:numId="38">
    <w:abstractNumId w:val="24"/>
  </w:num>
  <w:num w:numId="39">
    <w:abstractNumId w:val="5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A31"/>
    <w:rsid w:val="00003C6E"/>
    <w:rsid w:val="00007FF0"/>
    <w:rsid w:val="000142D8"/>
    <w:rsid w:val="000233A9"/>
    <w:rsid w:val="000268CC"/>
    <w:rsid w:val="00031B16"/>
    <w:rsid w:val="0003272F"/>
    <w:rsid w:val="000377AD"/>
    <w:rsid w:val="00042141"/>
    <w:rsid w:val="00043EA7"/>
    <w:rsid w:val="00057D46"/>
    <w:rsid w:val="00064BDE"/>
    <w:rsid w:val="0006772F"/>
    <w:rsid w:val="00071BA1"/>
    <w:rsid w:val="00077D2D"/>
    <w:rsid w:val="00097877"/>
    <w:rsid w:val="000A0C2D"/>
    <w:rsid w:val="000A41E9"/>
    <w:rsid w:val="000A4B4F"/>
    <w:rsid w:val="000A7D58"/>
    <w:rsid w:val="000B4A59"/>
    <w:rsid w:val="000B5B43"/>
    <w:rsid w:val="000C5A32"/>
    <w:rsid w:val="000C5AD9"/>
    <w:rsid w:val="000D2D1E"/>
    <w:rsid w:val="000D58E9"/>
    <w:rsid w:val="000E242A"/>
    <w:rsid w:val="000E5B61"/>
    <w:rsid w:val="00100EA6"/>
    <w:rsid w:val="00101493"/>
    <w:rsid w:val="001024B5"/>
    <w:rsid w:val="001051B0"/>
    <w:rsid w:val="0011400C"/>
    <w:rsid w:val="00121A0B"/>
    <w:rsid w:val="00135621"/>
    <w:rsid w:val="0013723E"/>
    <w:rsid w:val="001619C5"/>
    <w:rsid w:val="00167AB9"/>
    <w:rsid w:val="00170597"/>
    <w:rsid w:val="00175830"/>
    <w:rsid w:val="0019263B"/>
    <w:rsid w:val="001A25D6"/>
    <w:rsid w:val="001B3A5F"/>
    <w:rsid w:val="001B6CEC"/>
    <w:rsid w:val="001C0B24"/>
    <w:rsid w:val="001C20EA"/>
    <w:rsid w:val="001C5B6D"/>
    <w:rsid w:val="001C6FAD"/>
    <w:rsid w:val="001D11EC"/>
    <w:rsid w:val="001D741D"/>
    <w:rsid w:val="001E7090"/>
    <w:rsid w:val="001E79E2"/>
    <w:rsid w:val="001F1AB0"/>
    <w:rsid w:val="001F1EC2"/>
    <w:rsid w:val="00214ED5"/>
    <w:rsid w:val="002172F0"/>
    <w:rsid w:val="002205C6"/>
    <w:rsid w:val="0023273B"/>
    <w:rsid w:val="00233956"/>
    <w:rsid w:val="002358FA"/>
    <w:rsid w:val="00236B32"/>
    <w:rsid w:val="002453B0"/>
    <w:rsid w:val="00255DE3"/>
    <w:rsid w:val="00272DF9"/>
    <w:rsid w:val="0027467C"/>
    <w:rsid w:val="00277996"/>
    <w:rsid w:val="002879AE"/>
    <w:rsid w:val="00293542"/>
    <w:rsid w:val="00296E22"/>
    <w:rsid w:val="002A5560"/>
    <w:rsid w:val="002A5645"/>
    <w:rsid w:val="002A58A5"/>
    <w:rsid w:val="002B246B"/>
    <w:rsid w:val="002B587A"/>
    <w:rsid w:val="002C1327"/>
    <w:rsid w:val="002C1CF0"/>
    <w:rsid w:val="002C7868"/>
    <w:rsid w:val="002C7D56"/>
    <w:rsid w:val="002D2486"/>
    <w:rsid w:val="002D49FE"/>
    <w:rsid w:val="002D79DE"/>
    <w:rsid w:val="002E0458"/>
    <w:rsid w:val="002E161C"/>
    <w:rsid w:val="002E2901"/>
    <w:rsid w:val="002E50B3"/>
    <w:rsid w:val="002E583B"/>
    <w:rsid w:val="002E6960"/>
    <w:rsid w:val="002F60EB"/>
    <w:rsid w:val="00313010"/>
    <w:rsid w:val="00314A79"/>
    <w:rsid w:val="00321284"/>
    <w:rsid w:val="003218B9"/>
    <w:rsid w:val="0034224D"/>
    <w:rsid w:val="003541D4"/>
    <w:rsid w:val="0035700E"/>
    <w:rsid w:val="00361086"/>
    <w:rsid w:val="00362F93"/>
    <w:rsid w:val="00364D71"/>
    <w:rsid w:val="0037264D"/>
    <w:rsid w:val="00377DCA"/>
    <w:rsid w:val="003867AA"/>
    <w:rsid w:val="003908EA"/>
    <w:rsid w:val="003925C2"/>
    <w:rsid w:val="00394E27"/>
    <w:rsid w:val="00395516"/>
    <w:rsid w:val="003A10EC"/>
    <w:rsid w:val="003A3B01"/>
    <w:rsid w:val="003B2D7D"/>
    <w:rsid w:val="003B654E"/>
    <w:rsid w:val="003C520A"/>
    <w:rsid w:val="003C521E"/>
    <w:rsid w:val="003C66C1"/>
    <w:rsid w:val="003D17B9"/>
    <w:rsid w:val="003D1EBB"/>
    <w:rsid w:val="003D688A"/>
    <w:rsid w:val="003E2FBF"/>
    <w:rsid w:val="003E3B0C"/>
    <w:rsid w:val="003F5DE7"/>
    <w:rsid w:val="003F7B38"/>
    <w:rsid w:val="00403106"/>
    <w:rsid w:val="00414B39"/>
    <w:rsid w:val="0042278D"/>
    <w:rsid w:val="00425F84"/>
    <w:rsid w:val="00450F6F"/>
    <w:rsid w:val="00460D3B"/>
    <w:rsid w:val="004635A2"/>
    <w:rsid w:val="004675E7"/>
    <w:rsid w:val="004716A0"/>
    <w:rsid w:val="00473991"/>
    <w:rsid w:val="00473BEF"/>
    <w:rsid w:val="0048300E"/>
    <w:rsid w:val="00486F99"/>
    <w:rsid w:val="00487075"/>
    <w:rsid w:val="004928E1"/>
    <w:rsid w:val="004A11CF"/>
    <w:rsid w:val="004A1365"/>
    <w:rsid w:val="004A1FEB"/>
    <w:rsid w:val="004A3BD5"/>
    <w:rsid w:val="004A3F75"/>
    <w:rsid w:val="004A40CC"/>
    <w:rsid w:val="004A4CA3"/>
    <w:rsid w:val="004A508C"/>
    <w:rsid w:val="004A591A"/>
    <w:rsid w:val="004A64CB"/>
    <w:rsid w:val="004A6CEE"/>
    <w:rsid w:val="004B0503"/>
    <w:rsid w:val="004B52E5"/>
    <w:rsid w:val="004C065E"/>
    <w:rsid w:val="004D5A2C"/>
    <w:rsid w:val="004F59A5"/>
    <w:rsid w:val="00511BD2"/>
    <w:rsid w:val="0051215B"/>
    <w:rsid w:val="005251DA"/>
    <w:rsid w:val="00525332"/>
    <w:rsid w:val="0056148A"/>
    <w:rsid w:val="00566BE3"/>
    <w:rsid w:val="0057084A"/>
    <w:rsid w:val="0057532F"/>
    <w:rsid w:val="00576498"/>
    <w:rsid w:val="00576E5B"/>
    <w:rsid w:val="00584E25"/>
    <w:rsid w:val="00585118"/>
    <w:rsid w:val="00585CC0"/>
    <w:rsid w:val="00591426"/>
    <w:rsid w:val="00593B24"/>
    <w:rsid w:val="005967BB"/>
    <w:rsid w:val="005A0CF6"/>
    <w:rsid w:val="005A2523"/>
    <w:rsid w:val="005A7605"/>
    <w:rsid w:val="005B1A7D"/>
    <w:rsid w:val="005B23B1"/>
    <w:rsid w:val="005B2DAF"/>
    <w:rsid w:val="005C0009"/>
    <w:rsid w:val="005C152E"/>
    <w:rsid w:val="005C6C5F"/>
    <w:rsid w:val="005D39BE"/>
    <w:rsid w:val="005E2F1D"/>
    <w:rsid w:val="005F21C9"/>
    <w:rsid w:val="005F4B7C"/>
    <w:rsid w:val="005F5BF1"/>
    <w:rsid w:val="005F7CC4"/>
    <w:rsid w:val="006004D7"/>
    <w:rsid w:val="00604B0C"/>
    <w:rsid w:val="00604B47"/>
    <w:rsid w:val="00605019"/>
    <w:rsid w:val="00606902"/>
    <w:rsid w:val="00606DD3"/>
    <w:rsid w:val="00614530"/>
    <w:rsid w:val="00623253"/>
    <w:rsid w:val="00624A04"/>
    <w:rsid w:val="00634703"/>
    <w:rsid w:val="00637146"/>
    <w:rsid w:val="00637B1D"/>
    <w:rsid w:val="00654DFA"/>
    <w:rsid w:val="0066159F"/>
    <w:rsid w:val="00662D86"/>
    <w:rsid w:val="0068236A"/>
    <w:rsid w:val="00690E59"/>
    <w:rsid w:val="006925BE"/>
    <w:rsid w:val="00696017"/>
    <w:rsid w:val="006A0213"/>
    <w:rsid w:val="006B08D7"/>
    <w:rsid w:val="006B521F"/>
    <w:rsid w:val="006B5911"/>
    <w:rsid w:val="006C62F1"/>
    <w:rsid w:val="006D023A"/>
    <w:rsid w:val="006D3268"/>
    <w:rsid w:val="006D3AF2"/>
    <w:rsid w:val="006D4DAA"/>
    <w:rsid w:val="006E2C93"/>
    <w:rsid w:val="006E3799"/>
    <w:rsid w:val="006E5EFA"/>
    <w:rsid w:val="006F018C"/>
    <w:rsid w:val="006F0DF1"/>
    <w:rsid w:val="00704FFC"/>
    <w:rsid w:val="0071316F"/>
    <w:rsid w:val="007138D2"/>
    <w:rsid w:val="00737C32"/>
    <w:rsid w:val="00742D8A"/>
    <w:rsid w:val="00747170"/>
    <w:rsid w:val="00752037"/>
    <w:rsid w:val="00756255"/>
    <w:rsid w:val="0076226A"/>
    <w:rsid w:val="007638C1"/>
    <w:rsid w:val="00765E7A"/>
    <w:rsid w:val="00766E61"/>
    <w:rsid w:val="00770B85"/>
    <w:rsid w:val="007839AB"/>
    <w:rsid w:val="007850CB"/>
    <w:rsid w:val="007909D9"/>
    <w:rsid w:val="00790AFD"/>
    <w:rsid w:val="00791275"/>
    <w:rsid w:val="00791DE1"/>
    <w:rsid w:val="00793B5B"/>
    <w:rsid w:val="00795981"/>
    <w:rsid w:val="00797714"/>
    <w:rsid w:val="007A443A"/>
    <w:rsid w:val="007A5D41"/>
    <w:rsid w:val="007B1892"/>
    <w:rsid w:val="007B3BB3"/>
    <w:rsid w:val="007B6840"/>
    <w:rsid w:val="007B6A58"/>
    <w:rsid w:val="007C4EC3"/>
    <w:rsid w:val="007C79D5"/>
    <w:rsid w:val="007D064F"/>
    <w:rsid w:val="007D0C28"/>
    <w:rsid w:val="007D1349"/>
    <w:rsid w:val="007D5058"/>
    <w:rsid w:val="007E3825"/>
    <w:rsid w:val="007E5833"/>
    <w:rsid w:val="007E5C6B"/>
    <w:rsid w:val="007F07C2"/>
    <w:rsid w:val="00801EED"/>
    <w:rsid w:val="00802665"/>
    <w:rsid w:val="00811D2A"/>
    <w:rsid w:val="008219D8"/>
    <w:rsid w:val="008253C3"/>
    <w:rsid w:val="00827929"/>
    <w:rsid w:val="00831F7A"/>
    <w:rsid w:val="00840E03"/>
    <w:rsid w:val="00847727"/>
    <w:rsid w:val="00860F8E"/>
    <w:rsid w:val="00861522"/>
    <w:rsid w:val="00863DCC"/>
    <w:rsid w:val="00867158"/>
    <w:rsid w:val="00877BC2"/>
    <w:rsid w:val="00877BF9"/>
    <w:rsid w:val="00882FA0"/>
    <w:rsid w:val="00886EE1"/>
    <w:rsid w:val="00896AA1"/>
    <w:rsid w:val="0089756C"/>
    <w:rsid w:val="008A397A"/>
    <w:rsid w:val="008A640E"/>
    <w:rsid w:val="008B0C00"/>
    <w:rsid w:val="008B266A"/>
    <w:rsid w:val="008B3780"/>
    <w:rsid w:val="008C1F34"/>
    <w:rsid w:val="008C5164"/>
    <w:rsid w:val="008D1833"/>
    <w:rsid w:val="008D74AF"/>
    <w:rsid w:val="008E4600"/>
    <w:rsid w:val="008F029A"/>
    <w:rsid w:val="00904D07"/>
    <w:rsid w:val="00913BC1"/>
    <w:rsid w:val="00915978"/>
    <w:rsid w:val="00922367"/>
    <w:rsid w:val="00933F0E"/>
    <w:rsid w:val="0093495D"/>
    <w:rsid w:val="00942307"/>
    <w:rsid w:val="0094634E"/>
    <w:rsid w:val="0095397D"/>
    <w:rsid w:val="0096039F"/>
    <w:rsid w:val="009720B8"/>
    <w:rsid w:val="0098110D"/>
    <w:rsid w:val="009954BB"/>
    <w:rsid w:val="009A2A74"/>
    <w:rsid w:val="009A361C"/>
    <w:rsid w:val="009B024D"/>
    <w:rsid w:val="009B7F8A"/>
    <w:rsid w:val="009C26BC"/>
    <w:rsid w:val="009D2483"/>
    <w:rsid w:val="009E0150"/>
    <w:rsid w:val="009F03FF"/>
    <w:rsid w:val="009F090A"/>
    <w:rsid w:val="009F6405"/>
    <w:rsid w:val="009F6731"/>
    <w:rsid w:val="00A160A5"/>
    <w:rsid w:val="00A25AC1"/>
    <w:rsid w:val="00A26F80"/>
    <w:rsid w:val="00A27D47"/>
    <w:rsid w:val="00A30FAD"/>
    <w:rsid w:val="00A31B30"/>
    <w:rsid w:val="00A34796"/>
    <w:rsid w:val="00A35AFB"/>
    <w:rsid w:val="00A36BAB"/>
    <w:rsid w:val="00A36F57"/>
    <w:rsid w:val="00A422BF"/>
    <w:rsid w:val="00A42A2F"/>
    <w:rsid w:val="00A43AA9"/>
    <w:rsid w:val="00A44C3A"/>
    <w:rsid w:val="00A51190"/>
    <w:rsid w:val="00A62A5F"/>
    <w:rsid w:val="00A640F3"/>
    <w:rsid w:val="00A647BC"/>
    <w:rsid w:val="00A67957"/>
    <w:rsid w:val="00A7328E"/>
    <w:rsid w:val="00A73897"/>
    <w:rsid w:val="00A769A6"/>
    <w:rsid w:val="00A82B0C"/>
    <w:rsid w:val="00A83A7A"/>
    <w:rsid w:val="00A84B66"/>
    <w:rsid w:val="00A84D81"/>
    <w:rsid w:val="00A86526"/>
    <w:rsid w:val="00A879C9"/>
    <w:rsid w:val="00A96F51"/>
    <w:rsid w:val="00AA36F5"/>
    <w:rsid w:val="00AA5D9D"/>
    <w:rsid w:val="00AB17B6"/>
    <w:rsid w:val="00AD2E6C"/>
    <w:rsid w:val="00AD7BAE"/>
    <w:rsid w:val="00AD7F16"/>
    <w:rsid w:val="00AE63F0"/>
    <w:rsid w:val="00AE7FC7"/>
    <w:rsid w:val="00B0046D"/>
    <w:rsid w:val="00B03F6B"/>
    <w:rsid w:val="00B114DC"/>
    <w:rsid w:val="00B11D9E"/>
    <w:rsid w:val="00B14DE1"/>
    <w:rsid w:val="00B17BB0"/>
    <w:rsid w:val="00B24180"/>
    <w:rsid w:val="00B259DA"/>
    <w:rsid w:val="00B37912"/>
    <w:rsid w:val="00B40527"/>
    <w:rsid w:val="00B46D30"/>
    <w:rsid w:val="00B6456A"/>
    <w:rsid w:val="00B70961"/>
    <w:rsid w:val="00B75260"/>
    <w:rsid w:val="00B80057"/>
    <w:rsid w:val="00B827D6"/>
    <w:rsid w:val="00B83200"/>
    <w:rsid w:val="00B8471F"/>
    <w:rsid w:val="00B84C54"/>
    <w:rsid w:val="00B852FF"/>
    <w:rsid w:val="00B86F40"/>
    <w:rsid w:val="00BA26E0"/>
    <w:rsid w:val="00BA3540"/>
    <w:rsid w:val="00BA55A3"/>
    <w:rsid w:val="00BA6F61"/>
    <w:rsid w:val="00BA754E"/>
    <w:rsid w:val="00BB1043"/>
    <w:rsid w:val="00BB151D"/>
    <w:rsid w:val="00BB550B"/>
    <w:rsid w:val="00BB556E"/>
    <w:rsid w:val="00BC2CBC"/>
    <w:rsid w:val="00BC5B1F"/>
    <w:rsid w:val="00BD52FA"/>
    <w:rsid w:val="00BD7D3F"/>
    <w:rsid w:val="00BE1CFF"/>
    <w:rsid w:val="00BE2261"/>
    <w:rsid w:val="00BF339E"/>
    <w:rsid w:val="00BF51CE"/>
    <w:rsid w:val="00C10136"/>
    <w:rsid w:val="00C11F1C"/>
    <w:rsid w:val="00C13603"/>
    <w:rsid w:val="00C13CC7"/>
    <w:rsid w:val="00C37E03"/>
    <w:rsid w:val="00C549B7"/>
    <w:rsid w:val="00C733CB"/>
    <w:rsid w:val="00C73E0A"/>
    <w:rsid w:val="00C91C79"/>
    <w:rsid w:val="00CA13C4"/>
    <w:rsid w:val="00CA1D70"/>
    <w:rsid w:val="00CA2B24"/>
    <w:rsid w:val="00CA4AC5"/>
    <w:rsid w:val="00CA4DE7"/>
    <w:rsid w:val="00CA64F7"/>
    <w:rsid w:val="00CD1A31"/>
    <w:rsid w:val="00CD7AFE"/>
    <w:rsid w:val="00CD7F77"/>
    <w:rsid w:val="00CE01DD"/>
    <w:rsid w:val="00CE660B"/>
    <w:rsid w:val="00CF3579"/>
    <w:rsid w:val="00CF77C3"/>
    <w:rsid w:val="00D06621"/>
    <w:rsid w:val="00D160A5"/>
    <w:rsid w:val="00D2158D"/>
    <w:rsid w:val="00D21926"/>
    <w:rsid w:val="00D330E7"/>
    <w:rsid w:val="00D434D1"/>
    <w:rsid w:val="00D45C8D"/>
    <w:rsid w:val="00D6070E"/>
    <w:rsid w:val="00D607E5"/>
    <w:rsid w:val="00D81575"/>
    <w:rsid w:val="00D834F8"/>
    <w:rsid w:val="00D86F60"/>
    <w:rsid w:val="00DB2570"/>
    <w:rsid w:val="00DB71C4"/>
    <w:rsid w:val="00DC031C"/>
    <w:rsid w:val="00DC37EA"/>
    <w:rsid w:val="00DD0CC4"/>
    <w:rsid w:val="00DD1378"/>
    <w:rsid w:val="00DD4014"/>
    <w:rsid w:val="00DE4384"/>
    <w:rsid w:val="00DE6B51"/>
    <w:rsid w:val="00DE6E02"/>
    <w:rsid w:val="00DE7925"/>
    <w:rsid w:val="00DF08DC"/>
    <w:rsid w:val="00DF26FB"/>
    <w:rsid w:val="00E07325"/>
    <w:rsid w:val="00E07CC9"/>
    <w:rsid w:val="00E14F5A"/>
    <w:rsid w:val="00E17EC7"/>
    <w:rsid w:val="00E316BC"/>
    <w:rsid w:val="00E32E1C"/>
    <w:rsid w:val="00E35D34"/>
    <w:rsid w:val="00E41D12"/>
    <w:rsid w:val="00E44231"/>
    <w:rsid w:val="00E5309A"/>
    <w:rsid w:val="00E6218A"/>
    <w:rsid w:val="00E65347"/>
    <w:rsid w:val="00E67B82"/>
    <w:rsid w:val="00E704D6"/>
    <w:rsid w:val="00E75EE9"/>
    <w:rsid w:val="00E76BD8"/>
    <w:rsid w:val="00E80DC3"/>
    <w:rsid w:val="00E83256"/>
    <w:rsid w:val="00E853D0"/>
    <w:rsid w:val="00E90D51"/>
    <w:rsid w:val="00EA06C1"/>
    <w:rsid w:val="00EA533E"/>
    <w:rsid w:val="00EB0215"/>
    <w:rsid w:val="00EB5599"/>
    <w:rsid w:val="00EB7729"/>
    <w:rsid w:val="00EC53C7"/>
    <w:rsid w:val="00EF1A6D"/>
    <w:rsid w:val="00EF1D81"/>
    <w:rsid w:val="00EF705E"/>
    <w:rsid w:val="00EF770F"/>
    <w:rsid w:val="00F006E1"/>
    <w:rsid w:val="00F07645"/>
    <w:rsid w:val="00F308FF"/>
    <w:rsid w:val="00F326BE"/>
    <w:rsid w:val="00F3296D"/>
    <w:rsid w:val="00F3315D"/>
    <w:rsid w:val="00F337CD"/>
    <w:rsid w:val="00F4195C"/>
    <w:rsid w:val="00F46BC6"/>
    <w:rsid w:val="00F5792D"/>
    <w:rsid w:val="00F62676"/>
    <w:rsid w:val="00F7159A"/>
    <w:rsid w:val="00F76586"/>
    <w:rsid w:val="00F907FB"/>
    <w:rsid w:val="00F948FC"/>
    <w:rsid w:val="00F9654B"/>
    <w:rsid w:val="00FA3B8B"/>
    <w:rsid w:val="00FA7A3E"/>
    <w:rsid w:val="00FB22A1"/>
    <w:rsid w:val="00FB52B0"/>
    <w:rsid w:val="00FD157E"/>
    <w:rsid w:val="00FD1BB7"/>
    <w:rsid w:val="00FD3601"/>
    <w:rsid w:val="00FD426A"/>
    <w:rsid w:val="00FD6A6F"/>
    <w:rsid w:val="00FE18CB"/>
    <w:rsid w:val="00FF3494"/>
    <w:rsid w:val="00FF3E92"/>
    <w:rsid w:val="00FF4D83"/>
    <w:rsid w:val="00FF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7AD67549"/>
  <w15:docId w15:val="{E09A0BD7-CD78-41E3-BD6D-8A5563252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090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1A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1A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NormalWeb">
    <w:name w:val="Normal (Web)"/>
    <w:basedOn w:val="Normal"/>
    <w:uiPriority w:val="99"/>
    <w:semiHidden/>
    <w:unhideWhenUsed/>
    <w:rsid w:val="00CD1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paragraph" w:customStyle="1" w:styleId="Default">
    <w:name w:val="Default"/>
    <w:rsid w:val="00CD1A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C7868"/>
    <w:pPr>
      <w:ind w:left="720"/>
      <w:contextualSpacing/>
    </w:pPr>
    <w:rPr>
      <w:rFonts w:eastAsiaTheme="minorEastAsia"/>
      <w:lang w:val="en-NZ"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9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978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913B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BC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13B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BC1"/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86F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6F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6F99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6F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6F99"/>
    <w:rPr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486F99"/>
    <w:pPr>
      <w:spacing w:after="0" w:line="240" w:lineRule="auto"/>
    </w:pPr>
    <w:rPr>
      <w:lang w:val="en-GB"/>
    </w:rPr>
  </w:style>
  <w:style w:type="table" w:styleId="TableGrid">
    <w:name w:val="Table Grid"/>
    <w:basedOn w:val="TableNormal"/>
    <w:uiPriority w:val="59"/>
    <w:rsid w:val="00766E61"/>
    <w:pPr>
      <w:spacing w:after="0" w:line="240" w:lineRule="auto"/>
    </w:pPr>
    <w:rPr>
      <w:rFonts w:ascii="Verdana" w:hAnsi="Verdana"/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2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A8CB4-95EA-405A-A4DD-E4CB34CCE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9</Pages>
  <Words>2322</Words>
  <Characters>13238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UoA</Company>
  <LinksUpToDate>false</LinksUpToDate>
  <CharactersWithSpaces>15529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Moss</dc:creator>
  <cp:lastModifiedBy>Chantal Creese</cp:lastModifiedBy>
  <cp:revision>21</cp:revision>
  <cp:lastPrinted>2017-11-30T00:59:00Z</cp:lastPrinted>
  <dcterms:created xsi:type="dcterms:W3CDTF">2017-11-30T00:23:00Z</dcterms:created>
  <dcterms:modified xsi:type="dcterms:W3CDTF">2017-11-30T01:15:00Z</dcterms:modified>
</cp:coreProperties>
</file>