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C0F4A" w14:textId="2C335A82" w:rsidR="00DA0B67" w:rsidRPr="00DA0B67" w:rsidRDefault="00DA0B67" w:rsidP="00DA0B67">
      <w:pPr>
        <w:pStyle w:val="Title"/>
      </w:pPr>
      <w:r w:rsidRPr="00DA0B67">
        <w:t>Student Levy</w:t>
      </w:r>
    </w:p>
    <w:p w14:paraId="577D44E0" w14:textId="77777777" w:rsidR="000E6AD4" w:rsidRPr="00DA0B67" w:rsidRDefault="000E6AD4" w:rsidP="00DA0B67">
      <w:r w:rsidRPr="00DA0B67">
        <w:t>The Student Levy</w:t>
      </w:r>
      <w:r w:rsidR="006A2427" w:rsidRPr="00DA0B67">
        <w:t>,</w:t>
      </w:r>
      <w:r w:rsidRPr="00DA0B67">
        <w:t xml:space="preserve"> or Compulsory Student Services Fee</w:t>
      </w:r>
      <w:r w:rsidR="006A2427" w:rsidRPr="00DA0B67">
        <w:t>,</w:t>
      </w:r>
      <w:r w:rsidRPr="00DA0B67">
        <w:t xml:space="preserve"> is the fee paid by an enrolled student for student support services provided by the University.</w:t>
      </w:r>
    </w:p>
    <w:p w14:paraId="7BC82DBF" w14:textId="77777777" w:rsidR="000E6AD4" w:rsidRPr="00DA0B67" w:rsidRDefault="006A2427" w:rsidP="00DA0B67">
      <w:r w:rsidRPr="00DA0B67">
        <w:t>The fee is $7.06</w:t>
      </w:r>
      <w:r w:rsidR="000E6AD4" w:rsidRPr="00DA0B67">
        <w:t xml:space="preserve"> per point (on average that works out to be $</w:t>
      </w:r>
      <w:r w:rsidRPr="00DA0B67">
        <w:t>847.20</w:t>
      </w:r>
      <w:r w:rsidR="000E6AD4" w:rsidRPr="00DA0B67">
        <w:t xml:space="preserve"> per year for a typical undergraduate taking eight papers in a year). Both international and domestic students pay the same amount. Postgraduates are charged the same fee per point as undergraduate students.</w:t>
      </w:r>
    </w:p>
    <w:p w14:paraId="498FF990" w14:textId="77777777" w:rsidR="000E6AD4" w:rsidRPr="00DA0B67" w:rsidRDefault="000E6AD4" w:rsidP="00DA0B67">
      <w:r w:rsidRPr="00DA0B67">
        <w:t xml:space="preserve">The fee is collected at the same time that tuition fees are billed. For first year students whose fees are being covered under the Fees-free government policy, your Student Levy will also be covered by this initiative for the first year of your study.  </w:t>
      </w:r>
    </w:p>
    <w:p w14:paraId="3365E8D9" w14:textId="77777777" w:rsidR="000E6AD4" w:rsidRPr="00DA0B67" w:rsidRDefault="000E6AD4" w:rsidP="00DA0B67">
      <w:r w:rsidRPr="00DA0B67">
        <w:t>Each year, the University collects approximately $</w:t>
      </w:r>
      <w:r w:rsidR="006A2427" w:rsidRPr="00DA0B67">
        <w:t>22</w:t>
      </w:r>
      <w:r w:rsidRPr="00DA0B67">
        <w:t>m in student levies.</w:t>
      </w:r>
    </w:p>
    <w:p w14:paraId="67A29702" w14:textId="0CE089EC" w:rsidR="00390D0A" w:rsidRPr="00DA0B67" w:rsidRDefault="00390D0A" w:rsidP="00DA0B67">
      <w:pPr>
        <w:rPr>
          <w:lang w:val="en-US"/>
        </w:rPr>
      </w:pPr>
      <w:r w:rsidRPr="00DA0B67">
        <w:rPr>
          <w:lang w:val="en-US"/>
        </w:rPr>
        <w:t xml:space="preserve">The Education Amendment Act (2011) </w:t>
      </w:r>
      <w:r w:rsidR="006A2427" w:rsidRPr="00DA0B67">
        <w:rPr>
          <w:lang w:val="en-US"/>
        </w:rPr>
        <w:t>directs</w:t>
      </w:r>
      <w:r w:rsidRPr="00DA0B67">
        <w:rPr>
          <w:lang w:val="en-US"/>
        </w:rPr>
        <w:t xml:space="preserve"> universities on the categories of services that the </w:t>
      </w:r>
      <w:r w:rsidR="006A2427" w:rsidRPr="00DA0B67">
        <w:rPr>
          <w:lang w:val="en-US"/>
        </w:rPr>
        <w:t xml:space="preserve">student levy can be used to </w:t>
      </w:r>
      <w:r w:rsidR="00516968" w:rsidRPr="00DA0B67">
        <w:rPr>
          <w:lang w:val="en-US"/>
        </w:rPr>
        <w:t xml:space="preserve">fund, these are explained </w:t>
      </w:r>
      <w:r w:rsidRPr="00DA0B67">
        <w:rPr>
          <w:lang w:val="en-US"/>
        </w:rPr>
        <w:t xml:space="preserve">on this page. </w:t>
      </w:r>
    </w:p>
    <w:p w14:paraId="0CD1887E" w14:textId="2F560B35" w:rsidR="00516968" w:rsidRPr="00DA0B67" w:rsidRDefault="006707A4" w:rsidP="00516968">
      <w:r w:rsidRPr="00DA0B67">
        <w:rPr>
          <w:rStyle w:val="Heading2Char"/>
        </w:rPr>
        <w:t xml:space="preserve">Sport, </w:t>
      </w:r>
      <w:r w:rsidR="00913835" w:rsidRPr="00DA0B67">
        <w:rPr>
          <w:rStyle w:val="Heading2Char"/>
        </w:rPr>
        <w:t>recreation</w:t>
      </w:r>
      <w:r w:rsidRPr="00DA0B67">
        <w:rPr>
          <w:rStyle w:val="Heading2Char"/>
        </w:rPr>
        <w:t xml:space="preserve"> and cultural activities</w:t>
      </w:r>
      <w:r w:rsidR="00516968" w:rsidRPr="00DA0B67">
        <w:rPr>
          <w:rStyle w:val="Heading2Char"/>
        </w:rPr>
        <w:t xml:space="preserve"> (10,505,000</w:t>
      </w:r>
      <w:r w:rsidR="00913835" w:rsidRPr="00DA0B67">
        <w:rPr>
          <w:rStyle w:val="Heading2Char"/>
        </w:rPr>
        <w:t>)</w:t>
      </w:r>
      <w:r w:rsidRPr="00DA0B67">
        <w:rPr>
          <w:rStyle w:val="Heading2Char"/>
        </w:rPr>
        <w:t>:</w:t>
      </w:r>
      <w:r w:rsidRPr="00DA0B67">
        <w:rPr>
          <w:b/>
        </w:rPr>
        <w:t xml:space="preserve"> </w:t>
      </w:r>
      <w:r w:rsidRPr="00DA0B67">
        <w:t>covers a broad range of activities including sporting programmes, competitions and support, awards for extra-curricular success</w:t>
      </w:r>
      <w:r w:rsidR="008448B1" w:rsidRPr="00DA0B67">
        <w:t xml:space="preserve"> like Blues Awards, support for overseas compe</w:t>
      </w:r>
      <w:r w:rsidR="00884DF0" w:rsidRPr="00DA0B67">
        <w:t>t</w:t>
      </w:r>
      <w:r w:rsidR="008448B1" w:rsidRPr="00DA0B67">
        <w:t>itions</w:t>
      </w:r>
      <w:r w:rsidRPr="00DA0B67">
        <w:t xml:space="preserve"> and events </w:t>
      </w:r>
      <w:r w:rsidR="00837D80" w:rsidRPr="00DA0B67">
        <w:t>including reorientation</w:t>
      </w:r>
      <w:r w:rsidR="00884DF0" w:rsidRPr="00DA0B67">
        <w:t xml:space="preserve"> and end of year volunteer celebrations. The levy is also used to subsidise student memberships at the Recreation Centre. </w:t>
      </w:r>
      <w:r w:rsidRPr="00DA0B67">
        <w:t xml:space="preserve"> </w:t>
      </w:r>
    </w:p>
    <w:p w14:paraId="0BD298A8" w14:textId="5D6E00D8" w:rsidR="00913835" w:rsidRPr="00DA0B67" w:rsidRDefault="008448B1" w:rsidP="00516968">
      <w:r w:rsidRPr="00DA0B67">
        <w:lastRenderedPageBreak/>
        <w:t>$6,900,000 of this category is contributing towards a new recreation centre, this has been collected every year since 2012 to build up reserves. Considerable student consultation has taken place to ensure what will be provided meets the needs of the student body</w:t>
      </w:r>
      <w:r w:rsidR="00884DF0" w:rsidRPr="00DA0B67">
        <w:t>.</w:t>
      </w:r>
    </w:p>
    <w:p w14:paraId="293710CB" w14:textId="6385B78E" w:rsidR="000E6AD4" w:rsidRPr="00DA0B67" w:rsidRDefault="00516968" w:rsidP="00516968">
      <w:r w:rsidRPr="00DA0B67">
        <w:rPr>
          <w:rStyle w:val="Heading2Char"/>
        </w:rPr>
        <w:t xml:space="preserve">Advisory </w:t>
      </w:r>
      <w:r w:rsidR="000E6AD4" w:rsidRPr="00DA0B67">
        <w:rPr>
          <w:rStyle w:val="Heading2Char"/>
        </w:rPr>
        <w:t>services and pastoral care</w:t>
      </w:r>
      <w:r w:rsidRPr="00DA0B67">
        <w:rPr>
          <w:rStyle w:val="Heading2Char"/>
        </w:rPr>
        <w:t xml:space="preserve"> ($4,021,000</w:t>
      </w:r>
      <w:r w:rsidR="00390D0A" w:rsidRPr="00DA0B67">
        <w:rPr>
          <w:rStyle w:val="Heading2Char"/>
        </w:rPr>
        <w:t>)</w:t>
      </w:r>
      <w:r w:rsidR="000E6AD4" w:rsidRPr="00DA0B67">
        <w:rPr>
          <w:rStyle w:val="Heading2Char"/>
        </w:rPr>
        <w:t>:</w:t>
      </w:r>
      <w:r w:rsidR="000E6AD4" w:rsidRPr="00DA0B67">
        <w:t xml:space="preserve"> includes services which provide </w:t>
      </w:r>
      <w:r w:rsidRPr="00DA0B67">
        <w:t>non-academic advice</w:t>
      </w:r>
      <w:r w:rsidR="000E6AD4" w:rsidRPr="00DA0B67">
        <w:t xml:space="preserve"> and pastoral care thro</w:t>
      </w:r>
      <w:r w:rsidR="00913835" w:rsidRPr="00DA0B67">
        <w:t xml:space="preserve">ughout different parts of the student </w:t>
      </w:r>
      <w:r w:rsidR="000E6AD4" w:rsidRPr="00DA0B67">
        <w:t>experience. It includes orientation programmes, mentor</w:t>
      </w:r>
      <w:r w:rsidR="00837D80">
        <w:t>ing, T</w:t>
      </w:r>
      <w:bookmarkStart w:id="0" w:name="_GoBack"/>
      <w:bookmarkEnd w:id="0"/>
      <w:r w:rsidR="00913835" w:rsidRPr="00DA0B67">
        <w:t xml:space="preserve">uakana, religious spaces and support, </w:t>
      </w:r>
      <w:r w:rsidR="008448B1" w:rsidRPr="00DA0B67">
        <w:t>residential advisors, international student support</w:t>
      </w:r>
      <w:r w:rsidR="000E6AD4" w:rsidRPr="00DA0B67">
        <w:t xml:space="preserve"> and support advisors.</w:t>
      </w:r>
    </w:p>
    <w:p w14:paraId="408BF238" w14:textId="0D074881" w:rsidR="000E6AD4" w:rsidRPr="00DA0B67" w:rsidRDefault="000E6AD4" w:rsidP="00516968">
      <w:r w:rsidRPr="00DA0B67">
        <w:rPr>
          <w:rStyle w:val="Heading2Char"/>
        </w:rPr>
        <w:t xml:space="preserve">Health </w:t>
      </w:r>
      <w:r w:rsidR="00516968" w:rsidRPr="00DA0B67">
        <w:rPr>
          <w:rStyle w:val="Heading2Char"/>
        </w:rPr>
        <w:t xml:space="preserve">and Counselling </w:t>
      </w:r>
      <w:r w:rsidRPr="00DA0B67">
        <w:rPr>
          <w:rStyle w:val="Heading2Char"/>
        </w:rPr>
        <w:t>Services</w:t>
      </w:r>
      <w:r w:rsidR="00390D0A" w:rsidRPr="00DA0B67">
        <w:rPr>
          <w:rStyle w:val="Heading2Char"/>
        </w:rPr>
        <w:t xml:space="preserve"> ($2,692,</w:t>
      </w:r>
      <w:r w:rsidR="00516968" w:rsidRPr="00DA0B67">
        <w:rPr>
          <w:rStyle w:val="Heading2Char"/>
        </w:rPr>
        <w:t>000</w:t>
      </w:r>
      <w:r w:rsidR="00390D0A" w:rsidRPr="00DA0B67">
        <w:rPr>
          <w:rStyle w:val="Heading2Char"/>
        </w:rPr>
        <w:t>)</w:t>
      </w:r>
      <w:r w:rsidRPr="00DA0B67">
        <w:rPr>
          <w:rStyle w:val="Heading2Char"/>
        </w:rPr>
        <w:t>:</w:t>
      </w:r>
      <w:r w:rsidRPr="00DA0B67">
        <w:rPr>
          <w:b/>
        </w:rPr>
        <w:t xml:space="preserve"> </w:t>
      </w:r>
      <w:r w:rsidRPr="00DA0B67">
        <w:t>primarily this is about providing health care (like doctors and nurses) and related welfare services such as couns</w:t>
      </w:r>
      <w:r w:rsidR="008448B1" w:rsidRPr="00DA0B67">
        <w:t>elling and disability services.</w:t>
      </w:r>
    </w:p>
    <w:p w14:paraId="53D82A34" w14:textId="34054226" w:rsidR="000E6AD4" w:rsidRPr="00DA0B67" w:rsidRDefault="000E6AD4" w:rsidP="00516968">
      <w:r w:rsidRPr="00DA0B67">
        <w:rPr>
          <w:rStyle w:val="Heading2Char"/>
        </w:rPr>
        <w:t>Careers information, advice and guidance</w:t>
      </w:r>
      <w:r w:rsidR="00516968" w:rsidRPr="00DA0B67">
        <w:rPr>
          <w:rStyle w:val="Heading2Char"/>
        </w:rPr>
        <w:t xml:space="preserve"> ($1,918,000</w:t>
      </w:r>
      <w:r w:rsidR="00390D0A" w:rsidRPr="00DA0B67">
        <w:rPr>
          <w:rStyle w:val="Heading2Char"/>
        </w:rPr>
        <w:t>)</w:t>
      </w:r>
      <w:r w:rsidRPr="00DA0B67">
        <w:rPr>
          <w:rStyle w:val="Heading2Char"/>
        </w:rPr>
        <w:t>:</w:t>
      </w:r>
      <w:r w:rsidRPr="00DA0B67">
        <w:rPr>
          <w:b/>
        </w:rPr>
        <w:t xml:space="preserve"> </w:t>
      </w:r>
      <w:r w:rsidRPr="00DA0B67">
        <w:t>focuses on supporting students’ transition into post-study employment, largely through Career Development and Employment Services.</w:t>
      </w:r>
      <w:r w:rsidR="00913835" w:rsidRPr="00DA0B67">
        <w:t xml:space="preserve"> This includes a career service management system, workshops, small group and individual appointments, expos and other recruitment activities.</w:t>
      </w:r>
    </w:p>
    <w:p w14:paraId="26D80142" w14:textId="0AB55BBE" w:rsidR="000E6AD4" w:rsidRPr="00DA0B67" w:rsidRDefault="000E6AD4" w:rsidP="00516968">
      <w:pPr>
        <w:rPr>
          <w:lang w:val="en-US"/>
        </w:rPr>
      </w:pPr>
      <w:r w:rsidRPr="00DA0B67">
        <w:rPr>
          <w:rStyle w:val="Heading2Char"/>
        </w:rPr>
        <w:t>Clubs and societies</w:t>
      </w:r>
      <w:r w:rsidR="00516968" w:rsidRPr="00DA0B67">
        <w:rPr>
          <w:rStyle w:val="Heading2Char"/>
        </w:rPr>
        <w:t xml:space="preserve"> ($1,454</w:t>
      </w:r>
      <w:r w:rsidR="00390D0A" w:rsidRPr="00DA0B67">
        <w:rPr>
          <w:rStyle w:val="Heading2Char"/>
        </w:rPr>
        <w:t>,</w:t>
      </w:r>
      <w:r w:rsidR="00516968" w:rsidRPr="00DA0B67">
        <w:rPr>
          <w:rStyle w:val="Heading2Char"/>
        </w:rPr>
        <w:t>000</w:t>
      </w:r>
      <w:r w:rsidR="00390D0A" w:rsidRPr="00DA0B67">
        <w:rPr>
          <w:rStyle w:val="Heading2Char"/>
        </w:rPr>
        <w:t>)</w:t>
      </w:r>
      <w:r w:rsidRPr="00DA0B67">
        <w:rPr>
          <w:rStyle w:val="Heading2Char"/>
        </w:rPr>
        <w:t>:</w:t>
      </w:r>
      <w:r w:rsidRPr="00DA0B67">
        <w:rPr>
          <w:b/>
        </w:rPr>
        <w:t xml:space="preserve"> </w:t>
      </w:r>
      <w:r w:rsidR="00390D0A" w:rsidRPr="00DA0B67">
        <w:t xml:space="preserve">is all about </w:t>
      </w:r>
      <w:r w:rsidRPr="00DA0B67">
        <w:rPr>
          <w:lang w:val="en-US"/>
        </w:rPr>
        <w:t xml:space="preserve">supporting over 200 student clubs and societies, </w:t>
      </w:r>
      <w:r w:rsidR="00B152C6" w:rsidRPr="00DA0B67">
        <w:rPr>
          <w:lang w:val="en-US"/>
        </w:rPr>
        <w:t>this includes provision</w:t>
      </w:r>
      <w:r w:rsidRPr="00DA0B67">
        <w:rPr>
          <w:lang w:val="en-US"/>
        </w:rPr>
        <w:t xml:space="preserve"> </w:t>
      </w:r>
      <w:r w:rsidR="0037180B" w:rsidRPr="00DA0B67">
        <w:rPr>
          <w:lang w:val="en-US"/>
        </w:rPr>
        <w:t xml:space="preserve">of </w:t>
      </w:r>
      <w:r w:rsidR="00913835" w:rsidRPr="00DA0B67">
        <w:rPr>
          <w:lang w:val="en-US"/>
        </w:rPr>
        <w:t>direct funding</w:t>
      </w:r>
      <w:r w:rsidR="0037180B" w:rsidRPr="00DA0B67">
        <w:rPr>
          <w:lang w:val="en-US"/>
        </w:rPr>
        <w:t xml:space="preserve"> to student groups</w:t>
      </w:r>
      <w:r w:rsidR="00913835" w:rsidRPr="00DA0B67">
        <w:rPr>
          <w:lang w:val="en-US"/>
        </w:rPr>
        <w:t xml:space="preserve">, </w:t>
      </w:r>
      <w:proofErr w:type="spellStart"/>
      <w:r w:rsidR="00B152C6" w:rsidRPr="00DA0B67">
        <w:rPr>
          <w:lang w:val="en-US"/>
        </w:rPr>
        <w:t>organisation</w:t>
      </w:r>
      <w:proofErr w:type="spellEnd"/>
      <w:r w:rsidR="00B152C6" w:rsidRPr="00DA0B67">
        <w:rPr>
          <w:lang w:val="en-US"/>
        </w:rPr>
        <w:t xml:space="preserve"> of </w:t>
      </w:r>
      <w:r w:rsidR="00913835" w:rsidRPr="00DA0B67">
        <w:rPr>
          <w:lang w:val="en-US"/>
        </w:rPr>
        <w:t>expos,</w:t>
      </w:r>
      <w:r w:rsidR="006707A4" w:rsidRPr="00DA0B67">
        <w:rPr>
          <w:lang w:val="en-US"/>
        </w:rPr>
        <w:t xml:space="preserve"> </w:t>
      </w:r>
      <w:r w:rsidR="0037180B" w:rsidRPr="00DA0B67">
        <w:rPr>
          <w:lang w:val="en-US"/>
        </w:rPr>
        <w:t>and co-ordination</w:t>
      </w:r>
      <w:r w:rsidR="00B152C6" w:rsidRPr="00DA0B67">
        <w:rPr>
          <w:lang w:val="en-US"/>
        </w:rPr>
        <w:t xml:space="preserve"> of </w:t>
      </w:r>
      <w:r w:rsidR="006707A4" w:rsidRPr="00DA0B67">
        <w:rPr>
          <w:lang w:val="en-US"/>
        </w:rPr>
        <w:t>equipment</w:t>
      </w:r>
      <w:r w:rsidR="00B152C6" w:rsidRPr="00DA0B67">
        <w:rPr>
          <w:lang w:val="en-US"/>
        </w:rPr>
        <w:t xml:space="preserve">, </w:t>
      </w:r>
      <w:r w:rsidR="006707A4" w:rsidRPr="00DA0B67">
        <w:rPr>
          <w:lang w:val="en-US"/>
        </w:rPr>
        <w:t xml:space="preserve">resources, workshops, administrative assistance, </w:t>
      </w:r>
      <w:r w:rsidRPr="00DA0B67">
        <w:rPr>
          <w:lang w:val="en-US"/>
        </w:rPr>
        <w:t>facilities</w:t>
      </w:r>
      <w:r w:rsidR="006707A4" w:rsidRPr="00DA0B67">
        <w:rPr>
          <w:lang w:val="en-US"/>
        </w:rPr>
        <w:t xml:space="preserve"> and support.</w:t>
      </w:r>
    </w:p>
    <w:p w14:paraId="47B4F7D3" w14:textId="6226DEDC" w:rsidR="00913835" w:rsidRPr="00DA0B67" w:rsidRDefault="00913835" w:rsidP="00516968">
      <w:pPr>
        <w:rPr>
          <w:lang w:val="en-US"/>
        </w:rPr>
      </w:pPr>
      <w:r w:rsidRPr="00DA0B67">
        <w:rPr>
          <w:rStyle w:val="Heading2Char"/>
        </w:rPr>
        <w:t>Childcare services</w:t>
      </w:r>
      <w:r w:rsidR="00516968" w:rsidRPr="00DA0B67">
        <w:rPr>
          <w:rStyle w:val="Heading2Char"/>
        </w:rPr>
        <w:t xml:space="preserve"> ($971,000</w:t>
      </w:r>
      <w:r w:rsidRPr="00DA0B67">
        <w:rPr>
          <w:rStyle w:val="Heading2Char"/>
        </w:rPr>
        <w:t>):</w:t>
      </w:r>
      <w:r w:rsidR="00516968" w:rsidRPr="00DA0B67">
        <w:rPr>
          <w:lang w:val="en-US"/>
        </w:rPr>
        <w:t xml:space="preserve"> t</w:t>
      </w:r>
      <w:r w:rsidR="0037180B" w:rsidRPr="00DA0B67">
        <w:rPr>
          <w:lang w:val="en-US"/>
        </w:rPr>
        <w:t xml:space="preserve">he levy </w:t>
      </w:r>
      <w:proofErr w:type="spellStart"/>
      <w:r w:rsidR="0037180B" w:rsidRPr="00DA0B67">
        <w:rPr>
          <w:lang w:val="en-US"/>
        </w:rPr>
        <w:t>subsidises</w:t>
      </w:r>
      <w:proofErr w:type="spellEnd"/>
      <w:r w:rsidR="0037180B" w:rsidRPr="00DA0B67">
        <w:rPr>
          <w:lang w:val="en-US"/>
        </w:rPr>
        <w:t xml:space="preserve"> </w:t>
      </w:r>
      <w:r w:rsidRPr="00DA0B67">
        <w:rPr>
          <w:lang w:val="en-US"/>
        </w:rPr>
        <w:t xml:space="preserve">childcare for students </w:t>
      </w:r>
      <w:r w:rsidR="007F01A7" w:rsidRPr="00DA0B67">
        <w:rPr>
          <w:lang w:val="en-US"/>
        </w:rPr>
        <w:t>at the</w:t>
      </w:r>
      <w:r w:rsidRPr="00DA0B67">
        <w:rPr>
          <w:lang w:val="en-US"/>
        </w:rPr>
        <w:t xml:space="preserve"> University’s six</w:t>
      </w:r>
      <w:r w:rsidR="007F01A7" w:rsidRPr="00DA0B67">
        <w:rPr>
          <w:lang w:val="en-US"/>
        </w:rPr>
        <w:t xml:space="preserve"> Early Childhood </w:t>
      </w:r>
      <w:proofErr w:type="spellStart"/>
      <w:r w:rsidR="007F01A7" w:rsidRPr="00DA0B67">
        <w:rPr>
          <w:lang w:val="en-US"/>
        </w:rPr>
        <w:t>Centres</w:t>
      </w:r>
      <w:proofErr w:type="spellEnd"/>
      <w:r w:rsidR="007F01A7" w:rsidRPr="00DA0B67">
        <w:rPr>
          <w:lang w:val="en-US"/>
        </w:rPr>
        <w:t xml:space="preserve">. </w:t>
      </w:r>
      <w:r w:rsidR="00516968" w:rsidRPr="00DA0B67">
        <w:rPr>
          <w:lang w:val="en-US"/>
        </w:rPr>
        <w:t>In 2018 a new childcare facility was built at the Grafton campus, providing affordable childcare services while parents are studying.</w:t>
      </w:r>
    </w:p>
    <w:p w14:paraId="049431FF" w14:textId="413E12ED" w:rsidR="00913835" w:rsidRPr="00DA0B67" w:rsidRDefault="00913835" w:rsidP="00516968">
      <w:pPr>
        <w:rPr>
          <w:lang w:val="en-US"/>
        </w:rPr>
      </w:pPr>
      <w:r w:rsidRPr="00DA0B67">
        <w:rPr>
          <w:rStyle w:val="Heading2Char"/>
        </w:rPr>
        <w:lastRenderedPageBreak/>
        <w:t>Advocacy and legal advice</w:t>
      </w:r>
      <w:r w:rsidR="00516968" w:rsidRPr="00DA0B67">
        <w:rPr>
          <w:rStyle w:val="Heading2Char"/>
        </w:rPr>
        <w:t xml:space="preserve"> ($476,000</w:t>
      </w:r>
      <w:r w:rsidRPr="00DA0B67">
        <w:rPr>
          <w:rStyle w:val="Heading2Char"/>
        </w:rPr>
        <w:t>)</w:t>
      </w:r>
      <w:r w:rsidR="008448B1" w:rsidRPr="00DA0B67">
        <w:rPr>
          <w:rStyle w:val="Heading2Char"/>
        </w:rPr>
        <w:t>:</w:t>
      </w:r>
      <w:r w:rsidR="008448B1" w:rsidRPr="00DA0B67">
        <w:rPr>
          <w:b/>
          <w:lang w:val="en-US"/>
        </w:rPr>
        <w:t xml:space="preserve"> </w:t>
      </w:r>
      <w:r w:rsidR="00D51D3C" w:rsidRPr="00DA0B67">
        <w:rPr>
          <w:lang w:val="en-US"/>
        </w:rPr>
        <w:t>includes advocating on behalf of individual students and groups of students, and providing independent support to resolve problems. This primarily includes AUSA’s Advice Hub and executives</w:t>
      </w:r>
      <w:r w:rsidR="00B214E0" w:rsidRPr="00DA0B67">
        <w:rPr>
          <w:lang w:val="en-US"/>
        </w:rPr>
        <w:t xml:space="preserve">, along with designated </w:t>
      </w:r>
      <w:r w:rsidR="00D51D3C" w:rsidRPr="00DA0B67">
        <w:rPr>
          <w:lang w:val="en-US"/>
        </w:rPr>
        <w:t xml:space="preserve">spaces to undertake these activities. </w:t>
      </w:r>
    </w:p>
    <w:p w14:paraId="444EBD08" w14:textId="234F029B" w:rsidR="00913835" w:rsidRPr="00DA0B67" w:rsidRDefault="00913835" w:rsidP="00516968">
      <w:pPr>
        <w:rPr>
          <w:b/>
          <w:lang w:val="en-US"/>
        </w:rPr>
      </w:pPr>
      <w:r w:rsidRPr="00DA0B67">
        <w:rPr>
          <w:rStyle w:val="Heading2Char"/>
        </w:rPr>
        <w:t>Media</w:t>
      </w:r>
      <w:r w:rsidR="00516968" w:rsidRPr="00DA0B67">
        <w:rPr>
          <w:rStyle w:val="Heading2Char"/>
        </w:rPr>
        <w:t xml:space="preserve"> ($262,000</w:t>
      </w:r>
      <w:r w:rsidRPr="00DA0B67">
        <w:rPr>
          <w:rStyle w:val="Heading2Char"/>
        </w:rPr>
        <w:t>)</w:t>
      </w:r>
      <w:r w:rsidR="008448B1" w:rsidRPr="00DA0B67">
        <w:rPr>
          <w:rStyle w:val="Heading2Char"/>
        </w:rPr>
        <w:t>:</w:t>
      </w:r>
      <w:r w:rsidR="008448B1" w:rsidRPr="00DA0B67">
        <w:rPr>
          <w:b/>
          <w:lang w:val="en-US"/>
        </w:rPr>
        <w:t xml:space="preserve"> </w:t>
      </w:r>
      <w:r w:rsidR="008448B1" w:rsidRPr="00DA0B67">
        <w:rPr>
          <w:lang w:val="en-US"/>
        </w:rPr>
        <w:t>support</w:t>
      </w:r>
      <w:r w:rsidR="00113C13" w:rsidRPr="00DA0B67">
        <w:rPr>
          <w:lang w:val="en-US"/>
        </w:rPr>
        <w:t>s</w:t>
      </w:r>
      <w:r w:rsidR="008448B1" w:rsidRPr="00DA0B67">
        <w:rPr>
          <w:lang w:val="en-US"/>
        </w:rPr>
        <w:t xml:space="preserve"> the production and dissemination of information by students to students</w:t>
      </w:r>
      <w:r w:rsidR="008448B1" w:rsidRPr="00DA0B67">
        <w:rPr>
          <w:b/>
          <w:lang w:val="en-US"/>
        </w:rPr>
        <w:t xml:space="preserve"> </w:t>
      </w:r>
      <w:r w:rsidR="008448B1" w:rsidRPr="00DA0B67">
        <w:rPr>
          <w:lang w:val="en-US"/>
        </w:rPr>
        <w:t xml:space="preserve">in journals, blogs, newsletters and </w:t>
      </w:r>
      <w:r w:rsidR="00113C13" w:rsidRPr="00DA0B67">
        <w:rPr>
          <w:lang w:val="en-US"/>
        </w:rPr>
        <w:t xml:space="preserve">publications </w:t>
      </w:r>
      <w:r w:rsidR="008448B1" w:rsidRPr="00DA0B67">
        <w:rPr>
          <w:lang w:val="en-US"/>
        </w:rPr>
        <w:t xml:space="preserve">such as </w:t>
      </w:r>
      <w:proofErr w:type="spellStart"/>
      <w:r w:rsidR="008448B1" w:rsidRPr="00DA0B67">
        <w:rPr>
          <w:lang w:val="en-US"/>
        </w:rPr>
        <w:t>Craccum</w:t>
      </w:r>
      <w:proofErr w:type="spellEnd"/>
      <w:r w:rsidR="008448B1" w:rsidRPr="00DA0B67">
        <w:rPr>
          <w:lang w:val="en-US"/>
        </w:rPr>
        <w:t xml:space="preserve">. </w:t>
      </w:r>
    </w:p>
    <w:p w14:paraId="1BB6BAFE" w14:textId="59418C2C" w:rsidR="00913835" w:rsidRPr="00DA0B67" w:rsidRDefault="00913835" w:rsidP="00516968">
      <w:pPr>
        <w:rPr>
          <w:b/>
          <w:lang w:val="en-US"/>
        </w:rPr>
      </w:pPr>
      <w:r w:rsidRPr="00DA0B67">
        <w:rPr>
          <w:rStyle w:val="Heading2Char"/>
        </w:rPr>
        <w:t>Employment information</w:t>
      </w:r>
      <w:r w:rsidR="00516968" w:rsidRPr="00DA0B67">
        <w:rPr>
          <w:rStyle w:val="Heading2Char"/>
        </w:rPr>
        <w:t xml:space="preserve"> ($197,000</w:t>
      </w:r>
      <w:r w:rsidRPr="00DA0B67">
        <w:rPr>
          <w:rStyle w:val="Heading2Char"/>
        </w:rPr>
        <w:t>)</w:t>
      </w:r>
      <w:r w:rsidR="00D51D3C" w:rsidRPr="00DA0B67">
        <w:rPr>
          <w:rStyle w:val="Heading2Char"/>
        </w:rPr>
        <w:t>:</w:t>
      </w:r>
      <w:r w:rsidR="00D51D3C" w:rsidRPr="00DA0B67">
        <w:rPr>
          <w:b/>
          <w:lang w:val="en-US"/>
        </w:rPr>
        <w:t xml:space="preserve"> </w:t>
      </w:r>
      <w:r w:rsidR="00113C13" w:rsidRPr="00DA0B67">
        <w:rPr>
          <w:lang w:val="en-US"/>
        </w:rPr>
        <w:t xml:space="preserve">includes the provision of </w:t>
      </w:r>
      <w:r w:rsidR="00D51D3C" w:rsidRPr="00DA0B67">
        <w:rPr>
          <w:lang w:val="en-US"/>
        </w:rPr>
        <w:t xml:space="preserve">information about employment opportunities during study, such as Student Job Search. </w:t>
      </w:r>
    </w:p>
    <w:p w14:paraId="4C306901" w14:textId="262342DD" w:rsidR="00913835" w:rsidRPr="00DA0B67" w:rsidRDefault="00913835" w:rsidP="00516968">
      <w:pPr>
        <w:rPr>
          <w:lang w:val="en-US"/>
        </w:rPr>
      </w:pPr>
      <w:r w:rsidRPr="00DA0B67">
        <w:rPr>
          <w:rStyle w:val="Heading2Char"/>
        </w:rPr>
        <w:t>Financial support and advice</w:t>
      </w:r>
      <w:r w:rsidR="00516968" w:rsidRPr="00DA0B67">
        <w:rPr>
          <w:rStyle w:val="Heading2Char"/>
        </w:rPr>
        <w:t xml:space="preserve"> ($102,000</w:t>
      </w:r>
      <w:r w:rsidRPr="00DA0B67">
        <w:rPr>
          <w:rStyle w:val="Heading2Char"/>
        </w:rPr>
        <w:t>)</w:t>
      </w:r>
      <w:r w:rsidR="008448B1" w:rsidRPr="00DA0B67">
        <w:rPr>
          <w:rStyle w:val="Heading2Char"/>
        </w:rPr>
        <w:t>:</w:t>
      </w:r>
      <w:r w:rsidR="008448B1" w:rsidRPr="00DA0B67">
        <w:rPr>
          <w:b/>
          <w:lang w:val="en-US"/>
        </w:rPr>
        <w:t xml:space="preserve"> </w:t>
      </w:r>
      <w:r w:rsidR="008448B1" w:rsidRPr="00DA0B67">
        <w:rPr>
          <w:lang w:val="en-US"/>
        </w:rPr>
        <w:t>includes the provision of hardship</w:t>
      </w:r>
      <w:r w:rsidR="00113C13" w:rsidRPr="00DA0B67">
        <w:rPr>
          <w:lang w:val="en-US"/>
        </w:rPr>
        <w:t>, textbook and dental</w:t>
      </w:r>
      <w:r w:rsidR="008448B1" w:rsidRPr="00DA0B67">
        <w:rPr>
          <w:lang w:val="en-US"/>
        </w:rPr>
        <w:t xml:space="preserve"> grants</w:t>
      </w:r>
      <w:r w:rsidR="00113C13" w:rsidRPr="00DA0B67">
        <w:rPr>
          <w:lang w:val="en-US"/>
        </w:rPr>
        <w:t>, along with financial advice</w:t>
      </w:r>
      <w:r w:rsidR="00D51D3C" w:rsidRPr="00DA0B67">
        <w:rPr>
          <w:lang w:val="en-US"/>
        </w:rPr>
        <w:t xml:space="preserve"> from AUSA and the University.</w:t>
      </w:r>
    </w:p>
    <w:p w14:paraId="7839372F" w14:textId="7F7D06AA" w:rsidR="005979FD" w:rsidRPr="00DA0B67" w:rsidRDefault="00516968" w:rsidP="00DA0B67">
      <w:r w:rsidRPr="00DA0B67">
        <w:t>*figures have been rounded to the nearest thousand</w:t>
      </w:r>
    </w:p>
    <w:p w14:paraId="31C8CD69" w14:textId="77777777" w:rsidR="00516968" w:rsidRPr="00DA0B67" w:rsidRDefault="00516968" w:rsidP="000E6AD4">
      <w:pPr>
        <w:rPr>
          <w:b/>
        </w:rPr>
      </w:pPr>
    </w:p>
    <w:p w14:paraId="4606EE86" w14:textId="77777777" w:rsidR="00551030" w:rsidRPr="00DA0B67" w:rsidRDefault="005979FD" w:rsidP="00DA0B67">
      <w:pPr>
        <w:pStyle w:val="Heading1"/>
      </w:pPr>
      <w:r w:rsidRPr="00DA0B67">
        <w:t>Consultation process</w:t>
      </w:r>
    </w:p>
    <w:p w14:paraId="12F96C9D" w14:textId="77777777" w:rsidR="005979FD" w:rsidRPr="00DA0B67" w:rsidRDefault="005979FD" w:rsidP="005979FD">
      <w:r w:rsidRPr="00DA0B67">
        <w:t>The Student Consultative Group is the consultation forum for the levy. This group is made up of student and staff representatives and is chaired by the Vice-Chancellor. This group makes recommendations to the Finance Committee and Council in September. Council sets fees in October.</w:t>
      </w:r>
    </w:p>
    <w:p w14:paraId="05C88606" w14:textId="77777777" w:rsidR="005979FD" w:rsidRPr="00DA0B67" w:rsidRDefault="005979FD" w:rsidP="005979FD">
      <w:r w:rsidRPr="00DA0B67">
        <w:t xml:space="preserve">Students can talk directly with their representative on the SCG to make their views known on the levy. To find out who is on SCG, visit the </w:t>
      </w:r>
      <w:hyperlink r:id="rId6" w:history="1">
        <w:r w:rsidRPr="00DA0B67">
          <w:rPr>
            <w:rStyle w:val="Hyperlink"/>
          </w:rPr>
          <w:t>website.</w:t>
        </w:r>
      </w:hyperlink>
    </w:p>
    <w:p w14:paraId="78CA567D" w14:textId="1DDEFBA6" w:rsidR="005979FD" w:rsidRPr="00DA0B67" w:rsidRDefault="005979FD" w:rsidP="005979FD">
      <w:pPr>
        <w:rPr>
          <w:rStyle w:val="Hyperlink"/>
        </w:rPr>
      </w:pPr>
      <w:r w:rsidRPr="00DA0B67">
        <w:t xml:space="preserve">Students can also make their voice heard by completing a short online survey at: </w:t>
      </w:r>
      <w:hyperlink r:id="rId7" w:history="1">
        <w:r w:rsidRPr="00DA0B67">
          <w:rPr>
            <w:rStyle w:val="Hyperlink"/>
          </w:rPr>
          <w:t>www.auckland.ac.nz/levy.</w:t>
        </w:r>
      </w:hyperlink>
    </w:p>
    <w:p w14:paraId="30BA8463" w14:textId="77777777" w:rsidR="00F21280" w:rsidRPr="00DA0B67" w:rsidRDefault="00F21280" w:rsidP="005979FD">
      <w:pPr>
        <w:rPr>
          <w:rStyle w:val="Hyperlink"/>
          <w:color w:val="auto"/>
          <w:u w:val="none"/>
        </w:rPr>
      </w:pPr>
    </w:p>
    <w:p w14:paraId="352DE75D" w14:textId="77777777" w:rsidR="00DA0B67" w:rsidRPr="00DA0B67" w:rsidRDefault="00DA0B67" w:rsidP="005979FD">
      <w:pPr>
        <w:rPr>
          <w:rStyle w:val="Hyperlink"/>
          <w:b/>
          <w:color w:val="auto"/>
          <w:u w:val="none"/>
        </w:rPr>
      </w:pPr>
    </w:p>
    <w:p w14:paraId="3D119A8D" w14:textId="77777777" w:rsidR="00DA0B67" w:rsidRPr="00DA0B67" w:rsidRDefault="00DA0B67" w:rsidP="005979FD">
      <w:pPr>
        <w:rPr>
          <w:rStyle w:val="Hyperlink"/>
          <w:b/>
          <w:color w:val="auto"/>
          <w:u w:val="none"/>
        </w:rPr>
      </w:pPr>
    </w:p>
    <w:p w14:paraId="6762DCCD" w14:textId="77777777" w:rsidR="00DA0B67" w:rsidRPr="00DA0B67" w:rsidRDefault="00DA0B67" w:rsidP="005979FD">
      <w:pPr>
        <w:rPr>
          <w:rStyle w:val="Hyperlink"/>
          <w:b/>
          <w:color w:val="auto"/>
          <w:u w:val="none"/>
        </w:rPr>
      </w:pPr>
    </w:p>
    <w:p w14:paraId="56BD8C8C" w14:textId="77777777" w:rsidR="00DA0B67" w:rsidRPr="00DA0B67" w:rsidRDefault="00DA0B67" w:rsidP="005979FD">
      <w:pPr>
        <w:rPr>
          <w:rStyle w:val="Hyperlink"/>
          <w:b/>
          <w:color w:val="auto"/>
          <w:u w:val="none"/>
        </w:rPr>
      </w:pPr>
    </w:p>
    <w:p w14:paraId="40C5BC2A" w14:textId="77777777" w:rsidR="00DA0B67" w:rsidRPr="00DA0B67" w:rsidRDefault="00DA0B67" w:rsidP="005979FD">
      <w:pPr>
        <w:rPr>
          <w:rStyle w:val="Hyperlink"/>
          <w:b/>
          <w:color w:val="auto"/>
          <w:u w:val="none"/>
        </w:rPr>
      </w:pPr>
    </w:p>
    <w:p w14:paraId="7CD060E9" w14:textId="77777777" w:rsidR="00DA0B67" w:rsidRPr="00DA0B67" w:rsidRDefault="00DA0B67" w:rsidP="005979FD">
      <w:pPr>
        <w:rPr>
          <w:rStyle w:val="Hyperlink"/>
          <w:b/>
          <w:color w:val="auto"/>
          <w:u w:val="none"/>
        </w:rPr>
      </w:pPr>
    </w:p>
    <w:p w14:paraId="6122B9B0" w14:textId="77777777" w:rsidR="00DA0B67" w:rsidRPr="00DA0B67" w:rsidRDefault="00DA0B67" w:rsidP="005979FD">
      <w:pPr>
        <w:rPr>
          <w:rStyle w:val="Hyperlink"/>
          <w:b/>
          <w:color w:val="auto"/>
          <w:u w:val="none"/>
        </w:rPr>
      </w:pPr>
    </w:p>
    <w:p w14:paraId="70480DAF" w14:textId="77777777" w:rsidR="00DA0B67" w:rsidRPr="00DA0B67" w:rsidRDefault="00DA0B67">
      <w:pPr>
        <w:rPr>
          <w:rStyle w:val="Hyperlink"/>
          <w:b/>
          <w:color w:val="auto"/>
          <w:u w:val="none"/>
        </w:rPr>
        <w:sectPr w:rsidR="00DA0B67" w:rsidRPr="00DA0B67">
          <w:pgSz w:w="11906" w:h="16838"/>
          <w:pgMar w:top="1440" w:right="1440" w:bottom="1440" w:left="1440" w:header="708" w:footer="708" w:gutter="0"/>
          <w:cols w:space="708"/>
          <w:docGrid w:linePitch="360"/>
        </w:sectPr>
      </w:pPr>
    </w:p>
    <w:p w14:paraId="19CEF111" w14:textId="77777777" w:rsidR="00DA0B67" w:rsidRPr="00DA0B67" w:rsidRDefault="00DA0B67" w:rsidP="00DA0B67">
      <w:pPr>
        <w:pStyle w:val="Heading1"/>
        <w:rPr>
          <w:rStyle w:val="Hyperlink"/>
          <w:color w:val="2E74B5" w:themeColor="accent1" w:themeShade="BF"/>
          <w:u w:val="none"/>
        </w:rPr>
      </w:pPr>
    </w:p>
    <w:p w14:paraId="1F4544B0" w14:textId="77777777" w:rsidR="00DA0B67" w:rsidRDefault="00DA0B67" w:rsidP="00DA0B67">
      <w:pPr>
        <w:pStyle w:val="Heading1"/>
        <w:rPr>
          <w:rStyle w:val="Hyperlink"/>
          <w:color w:val="2E74B5" w:themeColor="accent1" w:themeShade="BF"/>
          <w:u w:val="none"/>
        </w:rPr>
      </w:pPr>
      <w:r w:rsidRPr="00DA0B67">
        <w:rPr>
          <w:rStyle w:val="Hyperlink"/>
          <w:color w:val="2E74B5" w:themeColor="accent1" w:themeShade="BF"/>
          <w:u w:val="none"/>
        </w:rPr>
        <w:t>Comparison</w:t>
      </w:r>
    </w:p>
    <w:p w14:paraId="06BC160E" w14:textId="5A590101" w:rsidR="000974A7" w:rsidRPr="000974A7" w:rsidRDefault="000974A7" w:rsidP="000974A7"/>
    <w:tbl>
      <w:tblPr>
        <w:tblW w:w="14572" w:type="dxa"/>
        <w:tblLook w:val="04A0" w:firstRow="1" w:lastRow="0" w:firstColumn="1" w:lastColumn="0" w:noHBand="0" w:noVBand="1"/>
      </w:tblPr>
      <w:tblGrid>
        <w:gridCol w:w="2330"/>
        <w:gridCol w:w="1662"/>
        <w:gridCol w:w="1791"/>
        <w:gridCol w:w="1560"/>
        <w:gridCol w:w="1417"/>
        <w:gridCol w:w="1418"/>
        <w:gridCol w:w="1559"/>
        <w:gridCol w:w="1417"/>
        <w:gridCol w:w="1418"/>
      </w:tblGrid>
      <w:tr w:rsidR="00DA0B67" w:rsidRPr="00DA0B67" w14:paraId="120B52B3" w14:textId="77777777" w:rsidTr="000974A7">
        <w:trPr>
          <w:trHeight w:val="576"/>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773280B6" w14:textId="77777777" w:rsidR="00DA0B67" w:rsidRPr="00DA0B67" w:rsidRDefault="00DA0B67" w:rsidP="00DA0B67">
            <w:pPr>
              <w:rPr>
                <w:b/>
                <w:bCs/>
                <w:lang w:eastAsia="en-NZ"/>
              </w:rPr>
            </w:pPr>
            <w:r w:rsidRPr="00DA0B67">
              <w:rPr>
                <w:b/>
                <w:bCs/>
                <w:lang w:eastAsia="en-NZ"/>
              </w:rPr>
              <w:t>NZ$ (GST inclusive)</w:t>
            </w:r>
          </w:p>
        </w:tc>
        <w:tc>
          <w:tcPr>
            <w:tcW w:w="1662" w:type="dxa"/>
            <w:tcBorders>
              <w:top w:val="nil"/>
              <w:left w:val="nil"/>
              <w:bottom w:val="single" w:sz="4" w:space="0" w:color="auto"/>
              <w:right w:val="single" w:sz="4" w:space="0" w:color="auto"/>
            </w:tcBorders>
            <w:shd w:val="clear" w:color="auto" w:fill="auto"/>
            <w:noWrap/>
            <w:vAlign w:val="center"/>
            <w:hideMark/>
          </w:tcPr>
          <w:p w14:paraId="6780B502" w14:textId="77777777" w:rsidR="00DA0B67" w:rsidRPr="00DA0B67" w:rsidRDefault="005B2E4D" w:rsidP="00705D27">
            <w:pPr>
              <w:pStyle w:val="Heading1"/>
              <w:rPr>
                <w:rFonts w:eastAsia="Times New Roman"/>
                <w:lang w:eastAsia="en-NZ"/>
              </w:rPr>
            </w:pPr>
            <w:hyperlink r:id="rId8" w:history="1">
              <w:r w:rsidR="00DA0B67" w:rsidRPr="00DA0B67">
                <w:rPr>
                  <w:rFonts w:eastAsia="Times New Roman"/>
                  <w:lang w:eastAsia="en-NZ"/>
                </w:rPr>
                <w:t>Canterbury</w:t>
              </w:r>
            </w:hyperlink>
          </w:p>
        </w:tc>
        <w:tc>
          <w:tcPr>
            <w:tcW w:w="1791" w:type="dxa"/>
            <w:tcBorders>
              <w:top w:val="nil"/>
              <w:left w:val="nil"/>
              <w:bottom w:val="single" w:sz="4" w:space="0" w:color="auto"/>
              <w:right w:val="single" w:sz="4" w:space="0" w:color="auto"/>
            </w:tcBorders>
            <w:shd w:val="clear" w:color="auto" w:fill="auto"/>
            <w:vAlign w:val="center"/>
            <w:hideMark/>
          </w:tcPr>
          <w:p w14:paraId="4FAD0756" w14:textId="77777777" w:rsidR="00DA0B67" w:rsidRPr="00DA0B67" w:rsidRDefault="005B2E4D" w:rsidP="00705D27">
            <w:pPr>
              <w:pStyle w:val="Heading1"/>
              <w:rPr>
                <w:rFonts w:eastAsia="Times New Roman"/>
                <w:lang w:eastAsia="en-NZ"/>
              </w:rPr>
            </w:pPr>
            <w:hyperlink r:id="rId9" w:history="1">
              <w:proofErr w:type="gramStart"/>
              <w:r w:rsidR="00DA0B67" w:rsidRPr="00DA0B67">
                <w:rPr>
                  <w:rFonts w:eastAsia="Times New Roman"/>
                  <w:lang w:eastAsia="en-NZ"/>
                </w:rPr>
                <w:t>Massey</w:t>
              </w:r>
              <w:proofErr w:type="gramEnd"/>
              <w:r w:rsidR="00DA0B67" w:rsidRPr="00DA0B67">
                <w:rPr>
                  <w:rFonts w:eastAsia="Times New Roman"/>
                  <w:lang w:eastAsia="en-NZ"/>
                </w:rPr>
                <w:br/>
                <w:t>(</w:t>
              </w:r>
              <w:proofErr w:type="spellStart"/>
              <w:r w:rsidR="00DA0B67" w:rsidRPr="00DA0B67">
                <w:rPr>
                  <w:rFonts w:eastAsia="Times New Roman"/>
                  <w:lang w:eastAsia="en-NZ"/>
                </w:rPr>
                <w:t>Manawatu</w:t>
              </w:r>
              <w:proofErr w:type="spellEnd"/>
              <w:r w:rsidR="00DA0B67" w:rsidRPr="00DA0B67">
                <w:rPr>
                  <w:rFonts w:eastAsia="Times New Roman"/>
                  <w:lang w:eastAsia="en-NZ"/>
                </w:rPr>
                <w:t>)</w:t>
              </w:r>
            </w:hyperlink>
          </w:p>
        </w:tc>
        <w:tc>
          <w:tcPr>
            <w:tcW w:w="1560" w:type="dxa"/>
            <w:tcBorders>
              <w:top w:val="nil"/>
              <w:left w:val="nil"/>
              <w:bottom w:val="single" w:sz="4" w:space="0" w:color="auto"/>
              <w:right w:val="single" w:sz="4" w:space="0" w:color="auto"/>
            </w:tcBorders>
            <w:shd w:val="clear" w:color="auto" w:fill="auto"/>
            <w:vAlign w:val="center"/>
            <w:hideMark/>
          </w:tcPr>
          <w:p w14:paraId="3BFF4084" w14:textId="77777777" w:rsidR="00DA0B67" w:rsidRPr="00DA0B67" w:rsidRDefault="005B2E4D" w:rsidP="00705D27">
            <w:pPr>
              <w:pStyle w:val="Heading1"/>
              <w:rPr>
                <w:rFonts w:eastAsia="Times New Roman"/>
                <w:lang w:eastAsia="en-NZ"/>
              </w:rPr>
            </w:pPr>
            <w:hyperlink r:id="rId10" w:history="1">
              <w:r w:rsidR="00DA0B67" w:rsidRPr="00DA0B67">
                <w:rPr>
                  <w:rFonts w:eastAsia="Times New Roman"/>
                  <w:lang w:eastAsia="en-NZ"/>
                </w:rPr>
                <w:t>Massey (Albany)*</w:t>
              </w:r>
            </w:hyperlink>
          </w:p>
        </w:tc>
        <w:tc>
          <w:tcPr>
            <w:tcW w:w="1417" w:type="dxa"/>
            <w:tcBorders>
              <w:top w:val="nil"/>
              <w:left w:val="nil"/>
              <w:bottom w:val="single" w:sz="4" w:space="0" w:color="auto"/>
              <w:right w:val="single" w:sz="4" w:space="0" w:color="auto"/>
            </w:tcBorders>
            <w:shd w:val="clear" w:color="auto" w:fill="auto"/>
            <w:noWrap/>
            <w:vAlign w:val="center"/>
            <w:hideMark/>
          </w:tcPr>
          <w:p w14:paraId="4A5ACC5D" w14:textId="77777777" w:rsidR="00DA0B67" w:rsidRPr="00DA0B67" w:rsidRDefault="005B2E4D" w:rsidP="00705D27">
            <w:pPr>
              <w:pStyle w:val="Heading1"/>
              <w:rPr>
                <w:rFonts w:eastAsia="Times New Roman"/>
                <w:lang w:eastAsia="en-NZ"/>
              </w:rPr>
            </w:pPr>
            <w:hyperlink r:id="rId11" w:history="1">
              <w:r w:rsidR="00DA0B67" w:rsidRPr="00DA0B67">
                <w:rPr>
                  <w:rFonts w:eastAsia="Times New Roman"/>
                  <w:lang w:eastAsia="en-NZ"/>
                </w:rPr>
                <w:t>Otago</w:t>
              </w:r>
            </w:hyperlink>
          </w:p>
        </w:tc>
        <w:tc>
          <w:tcPr>
            <w:tcW w:w="1418" w:type="dxa"/>
            <w:tcBorders>
              <w:top w:val="nil"/>
              <w:left w:val="nil"/>
              <w:bottom w:val="single" w:sz="4" w:space="0" w:color="auto"/>
              <w:right w:val="single" w:sz="4" w:space="0" w:color="auto"/>
            </w:tcBorders>
            <w:shd w:val="clear" w:color="auto" w:fill="auto"/>
            <w:noWrap/>
            <w:vAlign w:val="center"/>
            <w:hideMark/>
          </w:tcPr>
          <w:p w14:paraId="185EDF68" w14:textId="77777777" w:rsidR="00DA0B67" w:rsidRPr="00DA0B67" w:rsidRDefault="005B2E4D" w:rsidP="00705D27">
            <w:pPr>
              <w:pStyle w:val="Heading1"/>
              <w:rPr>
                <w:rFonts w:eastAsia="Times New Roman"/>
                <w:lang w:eastAsia="en-NZ"/>
              </w:rPr>
            </w:pPr>
            <w:hyperlink r:id="rId12" w:history="1">
              <w:r w:rsidR="00DA0B67" w:rsidRPr="00DA0B67">
                <w:rPr>
                  <w:rFonts w:eastAsia="Times New Roman"/>
                  <w:lang w:eastAsia="en-NZ"/>
                </w:rPr>
                <w:t>Waikato</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0AAD6789" w14:textId="77777777" w:rsidR="00DA0B67" w:rsidRPr="00DA0B67" w:rsidRDefault="005B2E4D" w:rsidP="00705D27">
            <w:pPr>
              <w:pStyle w:val="Heading1"/>
              <w:rPr>
                <w:rFonts w:eastAsia="Times New Roman"/>
                <w:lang w:eastAsia="en-NZ"/>
              </w:rPr>
            </w:pPr>
            <w:hyperlink r:id="rId13" w:history="1">
              <w:r w:rsidR="00DA0B67" w:rsidRPr="00DA0B67">
                <w:rPr>
                  <w:rFonts w:eastAsia="Times New Roman"/>
                  <w:lang w:eastAsia="en-NZ"/>
                </w:rPr>
                <w:t>Victoria</w:t>
              </w:r>
            </w:hyperlink>
          </w:p>
        </w:tc>
        <w:tc>
          <w:tcPr>
            <w:tcW w:w="1417" w:type="dxa"/>
            <w:tcBorders>
              <w:top w:val="nil"/>
              <w:left w:val="nil"/>
              <w:bottom w:val="single" w:sz="4" w:space="0" w:color="auto"/>
              <w:right w:val="single" w:sz="4" w:space="0" w:color="auto"/>
            </w:tcBorders>
            <w:shd w:val="clear" w:color="auto" w:fill="auto"/>
            <w:noWrap/>
            <w:vAlign w:val="center"/>
            <w:hideMark/>
          </w:tcPr>
          <w:p w14:paraId="3969A293" w14:textId="77777777" w:rsidR="00DA0B67" w:rsidRPr="00DA0B67" w:rsidRDefault="005B2E4D" w:rsidP="00705D27">
            <w:pPr>
              <w:pStyle w:val="Heading1"/>
              <w:rPr>
                <w:rFonts w:eastAsia="Times New Roman"/>
                <w:lang w:eastAsia="en-NZ"/>
              </w:rPr>
            </w:pPr>
            <w:hyperlink r:id="rId14" w:history="1">
              <w:r w:rsidR="00DA0B67" w:rsidRPr="00DA0B67">
                <w:rPr>
                  <w:rFonts w:eastAsia="Times New Roman"/>
                  <w:lang w:eastAsia="en-NZ"/>
                </w:rPr>
                <w:t>Auckland</w:t>
              </w:r>
            </w:hyperlink>
          </w:p>
        </w:tc>
        <w:tc>
          <w:tcPr>
            <w:tcW w:w="1418" w:type="dxa"/>
            <w:tcBorders>
              <w:top w:val="nil"/>
              <w:left w:val="nil"/>
              <w:bottom w:val="single" w:sz="4" w:space="0" w:color="auto"/>
              <w:right w:val="single" w:sz="4" w:space="0" w:color="auto"/>
            </w:tcBorders>
            <w:shd w:val="clear" w:color="auto" w:fill="auto"/>
            <w:noWrap/>
            <w:vAlign w:val="center"/>
            <w:hideMark/>
          </w:tcPr>
          <w:p w14:paraId="248EB6E6" w14:textId="77777777" w:rsidR="00DA0B67" w:rsidRPr="00DA0B67" w:rsidRDefault="005B2E4D" w:rsidP="00705D27">
            <w:pPr>
              <w:pStyle w:val="Heading1"/>
              <w:rPr>
                <w:rFonts w:eastAsia="Times New Roman"/>
                <w:lang w:eastAsia="en-NZ"/>
              </w:rPr>
            </w:pPr>
            <w:hyperlink r:id="rId15" w:history="1">
              <w:r w:rsidR="00DA0B67" w:rsidRPr="00DA0B67">
                <w:rPr>
                  <w:rFonts w:eastAsia="Times New Roman"/>
                  <w:lang w:eastAsia="en-NZ"/>
                </w:rPr>
                <w:t>AUT</w:t>
              </w:r>
            </w:hyperlink>
          </w:p>
        </w:tc>
      </w:tr>
      <w:tr w:rsidR="00DA0B67" w:rsidRPr="00DA0B67" w14:paraId="0DAA8D4B"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577058E5" w14:textId="77777777" w:rsidR="00DA0B67" w:rsidRPr="00DA0B67" w:rsidRDefault="00DA0B67" w:rsidP="00DA0B67">
            <w:pPr>
              <w:rPr>
                <w:lang w:eastAsia="en-NZ"/>
              </w:rPr>
            </w:pPr>
            <w:r w:rsidRPr="00DA0B67">
              <w:rPr>
                <w:lang w:eastAsia="en-NZ"/>
              </w:rPr>
              <w:t> </w:t>
            </w:r>
          </w:p>
        </w:tc>
        <w:tc>
          <w:tcPr>
            <w:tcW w:w="1662" w:type="dxa"/>
            <w:tcBorders>
              <w:top w:val="nil"/>
              <w:left w:val="nil"/>
              <w:bottom w:val="single" w:sz="4" w:space="0" w:color="auto"/>
              <w:right w:val="single" w:sz="4" w:space="0" w:color="auto"/>
            </w:tcBorders>
            <w:shd w:val="clear" w:color="auto" w:fill="auto"/>
            <w:noWrap/>
            <w:vAlign w:val="bottom"/>
            <w:hideMark/>
          </w:tcPr>
          <w:p w14:paraId="0C0F280E"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3C8052EA" w14:textId="77777777" w:rsidR="00DA0B67" w:rsidRPr="00DA0B67" w:rsidRDefault="00DA0B67" w:rsidP="00DA0B67">
            <w:pPr>
              <w:rPr>
                <w:lang w:eastAsia="en-NZ"/>
              </w:rPr>
            </w:pPr>
            <w:r w:rsidRPr="00DA0B67">
              <w:rPr>
                <w:lang w:eastAsia="en-NZ"/>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F9ACD5"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682859"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E07DF3" w14:textId="77777777" w:rsidR="00DA0B67" w:rsidRPr="00DA0B67" w:rsidRDefault="00DA0B67" w:rsidP="00DA0B67">
            <w:pPr>
              <w:rPr>
                <w:lang w:eastAsia="en-NZ"/>
              </w:rPr>
            </w:pPr>
            <w:r w:rsidRPr="00DA0B67">
              <w:rPr>
                <w:lang w:eastAsia="en-NZ"/>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4CC624"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6F5A5560"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8A3F47" w14:textId="77777777" w:rsidR="00DA0B67" w:rsidRPr="00DA0B67" w:rsidRDefault="00DA0B67" w:rsidP="00DA0B67">
            <w:pPr>
              <w:rPr>
                <w:lang w:eastAsia="en-NZ"/>
              </w:rPr>
            </w:pPr>
            <w:r w:rsidRPr="00DA0B67">
              <w:rPr>
                <w:lang w:eastAsia="en-NZ"/>
              </w:rPr>
              <w:t> </w:t>
            </w:r>
          </w:p>
        </w:tc>
      </w:tr>
      <w:tr w:rsidR="00DA0B67" w:rsidRPr="00DA0B67" w14:paraId="46D5B76B"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62FB2B85" w14:textId="77777777" w:rsidR="00DA0B67" w:rsidRPr="00DA0B67" w:rsidRDefault="00DA0B67" w:rsidP="00DA0B67">
            <w:pPr>
              <w:rPr>
                <w:lang w:eastAsia="en-NZ"/>
              </w:rPr>
            </w:pPr>
            <w:r w:rsidRPr="00DA0B67">
              <w:rPr>
                <w:lang w:eastAsia="en-NZ"/>
              </w:rPr>
              <w:t>Building Levy</w:t>
            </w:r>
          </w:p>
        </w:tc>
        <w:tc>
          <w:tcPr>
            <w:tcW w:w="1662" w:type="dxa"/>
            <w:tcBorders>
              <w:top w:val="nil"/>
              <w:left w:val="nil"/>
              <w:bottom w:val="single" w:sz="4" w:space="0" w:color="auto"/>
              <w:right w:val="single" w:sz="4" w:space="0" w:color="auto"/>
            </w:tcBorders>
            <w:shd w:val="clear" w:color="auto" w:fill="auto"/>
            <w:noWrap/>
            <w:vAlign w:val="bottom"/>
            <w:hideMark/>
          </w:tcPr>
          <w:p w14:paraId="58C16CC6"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0F76D182" w14:textId="77777777" w:rsidR="00DA0B67" w:rsidRPr="00DA0B67" w:rsidRDefault="00DA0B67" w:rsidP="00DA0B67">
            <w:pPr>
              <w:rPr>
                <w:lang w:eastAsia="en-NZ"/>
              </w:rPr>
            </w:pPr>
            <w:r w:rsidRPr="00DA0B67">
              <w:rPr>
                <w:lang w:eastAsia="en-NZ"/>
              </w:rPr>
              <w:t xml:space="preserve"> $           30.20 </w:t>
            </w:r>
          </w:p>
        </w:tc>
        <w:tc>
          <w:tcPr>
            <w:tcW w:w="1560" w:type="dxa"/>
            <w:tcBorders>
              <w:top w:val="nil"/>
              <w:left w:val="nil"/>
              <w:bottom w:val="single" w:sz="4" w:space="0" w:color="auto"/>
              <w:right w:val="single" w:sz="4" w:space="0" w:color="auto"/>
            </w:tcBorders>
            <w:shd w:val="clear" w:color="auto" w:fill="auto"/>
            <w:noWrap/>
            <w:vAlign w:val="bottom"/>
            <w:hideMark/>
          </w:tcPr>
          <w:p w14:paraId="5C501914"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DEFE98"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D9B708" w14:textId="77777777" w:rsidR="00DA0B67" w:rsidRPr="00DA0B67" w:rsidRDefault="00DA0B67" w:rsidP="00DA0B67">
            <w:pPr>
              <w:rPr>
                <w:lang w:eastAsia="en-NZ"/>
              </w:rPr>
            </w:pPr>
            <w:r w:rsidRPr="00DA0B67">
              <w:rPr>
                <w:lang w:eastAsia="en-NZ"/>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4F6F06"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62E6BE"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3AA4EB" w14:textId="77777777" w:rsidR="00DA0B67" w:rsidRPr="00DA0B67" w:rsidRDefault="00DA0B67" w:rsidP="00DA0B67">
            <w:pPr>
              <w:rPr>
                <w:lang w:eastAsia="en-NZ"/>
              </w:rPr>
            </w:pPr>
            <w:r w:rsidRPr="00DA0B67">
              <w:rPr>
                <w:lang w:eastAsia="en-NZ"/>
              </w:rPr>
              <w:t xml:space="preserve"> $   71.00 </w:t>
            </w:r>
          </w:p>
        </w:tc>
      </w:tr>
      <w:tr w:rsidR="00DA0B67" w:rsidRPr="00DA0B67" w14:paraId="1982AFF5"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0FEA6655" w14:textId="77777777" w:rsidR="00DA0B67" w:rsidRPr="00DA0B67" w:rsidRDefault="00DA0B67" w:rsidP="00DA0B67">
            <w:pPr>
              <w:rPr>
                <w:lang w:eastAsia="en-NZ"/>
              </w:rPr>
            </w:pPr>
            <w:r w:rsidRPr="00DA0B67">
              <w:rPr>
                <w:lang w:eastAsia="en-NZ"/>
              </w:rPr>
              <w:t>Student Amenities Levy</w:t>
            </w:r>
          </w:p>
        </w:tc>
        <w:tc>
          <w:tcPr>
            <w:tcW w:w="1662" w:type="dxa"/>
            <w:tcBorders>
              <w:top w:val="nil"/>
              <w:left w:val="nil"/>
              <w:bottom w:val="single" w:sz="4" w:space="0" w:color="auto"/>
              <w:right w:val="single" w:sz="4" w:space="0" w:color="auto"/>
            </w:tcBorders>
            <w:shd w:val="clear" w:color="auto" w:fill="auto"/>
            <w:noWrap/>
            <w:vAlign w:val="bottom"/>
            <w:hideMark/>
          </w:tcPr>
          <w:p w14:paraId="2E6471EB"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5E731032" w14:textId="77777777" w:rsidR="00DA0B67" w:rsidRPr="00DA0B67" w:rsidRDefault="00DA0B67" w:rsidP="00DA0B67">
            <w:pPr>
              <w:rPr>
                <w:lang w:eastAsia="en-NZ"/>
              </w:rPr>
            </w:pPr>
            <w:r w:rsidRPr="00DA0B67">
              <w:rPr>
                <w:lang w:eastAsia="en-NZ"/>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414778"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5FC9B9"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CA6CE4" w14:textId="77777777" w:rsidR="00DA0B67" w:rsidRPr="00DA0B67" w:rsidRDefault="00DA0B67" w:rsidP="00DA0B67">
            <w:pPr>
              <w:rPr>
                <w:lang w:eastAsia="en-NZ"/>
              </w:rPr>
            </w:pPr>
            <w:r w:rsidRPr="00DA0B67">
              <w:rPr>
                <w:lang w:eastAsia="en-NZ"/>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C02086" w14:textId="77777777" w:rsidR="00DA0B67" w:rsidRPr="00DA0B67" w:rsidRDefault="00DA0B67" w:rsidP="00DA0B67">
            <w:pPr>
              <w:rPr>
                <w:lang w:eastAsia="en-NZ"/>
              </w:rPr>
            </w:pPr>
            <w:r w:rsidRPr="00DA0B67">
              <w:rPr>
                <w:lang w:eastAsia="en-NZ"/>
              </w:rPr>
              <w:t xml:space="preserve"> $   27.60 </w:t>
            </w:r>
          </w:p>
        </w:tc>
        <w:tc>
          <w:tcPr>
            <w:tcW w:w="1417" w:type="dxa"/>
            <w:tcBorders>
              <w:top w:val="nil"/>
              <w:left w:val="nil"/>
              <w:bottom w:val="single" w:sz="4" w:space="0" w:color="auto"/>
              <w:right w:val="single" w:sz="4" w:space="0" w:color="auto"/>
            </w:tcBorders>
            <w:shd w:val="clear" w:color="auto" w:fill="auto"/>
            <w:noWrap/>
            <w:vAlign w:val="bottom"/>
            <w:hideMark/>
          </w:tcPr>
          <w:p w14:paraId="10AC8947"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1B1F0A" w14:textId="77777777" w:rsidR="00DA0B67" w:rsidRPr="00DA0B67" w:rsidRDefault="00DA0B67" w:rsidP="00DA0B67">
            <w:pPr>
              <w:rPr>
                <w:lang w:eastAsia="en-NZ"/>
              </w:rPr>
            </w:pPr>
            <w:r w:rsidRPr="00DA0B67">
              <w:rPr>
                <w:lang w:eastAsia="en-NZ"/>
              </w:rPr>
              <w:t> </w:t>
            </w:r>
          </w:p>
        </w:tc>
      </w:tr>
      <w:tr w:rsidR="00DA0B67" w:rsidRPr="00DA0B67" w14:paraId="2080BF19"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45A4FE01" w14:textId="77777777" w:rsidR="00DA0B67" w:rsidRPr="00DA0B67" w:rsidRDefault="00DA0B67" w:rsidP="00DA0B67">
            <w:pPr>
              <w:rPr>
                <w:lang w:eastAsia="en-NZ"/>
              </w:rPr>
            </w:pPr>
            <w:r w:rsidRPr="00DA0B67">
              <w:rPr>
                <w:lang w:eastAsia="en-NZ"/>
              </w:rPr>
              <w:t>Student Assistance</w:t>
            </w:r>
          </w:p>
        </w:tc>
        <w:tc>
          <w:tcPr>
            <w:tcW w:w="1662" w:type="dxa"/>
            <w:tcBorders>
              <w:top w:val="nil"/>
              <w:left w:val="nil"/>
              <w:bottom w:val="single" w:sz="4" w:space="0" w:color="auto"/>
              <w:right w:val="single" w:sz="4" w:space="0" w:color="auto"/>
            </w:tcBorders>
            <w:shd w:val="clear" w:color="auto" w:fill="auto"/>
            <w:noWrap/>
            <w:vAlign w:val="bottom"/>
            <w:hideMark/>
          </w:tcPr>
          <w:p w14:paraId="65B14873"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5D3546AE" w14:textId="77777777" w:rsidR="00DA0B67" w:rsidRPr="00DA0B67" w:rsidRDefault="00DA0B67" w:rsidP="00DA0B67">
            <w:pPr>
              <w:rPr>
                <w:lang w:eastAsia="en-NZ"/>
              </w:rPr>
            </w:pPr>
            <w:r w:rsidRPr="00DA0B67">
              <w:rPr>
                <w:lang w:eastAsia="en-NZ"/>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E5786C"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49A0B4"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A6C83A" w14:textId="77777777" w:rsidR="00DA0B67" w:rsidRPr="00DA0B67" w:rsidRDefault="00DA0B67" w:rsidP="00DA0B67">
            <w:pPr>
              <w:rPr>
                <w:lang w:eastAsia="en-NZ"/>
              </w:rPr>
            </w:pPr>
            <w:r w:rsidRPr="00DA0B67">
              <w:rPr>
                <w:lang w:eastAsia="en-NZ"/>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5BFA58"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9FB374"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B46483" w14:textId="77777777" w:rsidR="00DA0B67" w:rsidRPr="00DA0B67" w:rsidRDefault="00DA0B67" w:rsidP="00DA0B67">
            <w:pPr>
              <w:rPr>
                <w:lang w:eastAsia="en-NZ"/>
              </w:rPr>
            </w:pPr>
            <w:r w:rsidRPr="00DA0B67">
              <w:rPr>
                <w:lang w:eastAsia="en-NZ"/>
              </w:rPr>
              <w:t> </w:t>
            </w:r>
          </w:p>
        </w:tc>
      </w:tr>
      <w:tr w:rsidR="00DA0B67" w:rsidRPr="00DA0B67" w14:paraId="0CCA2AB9"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062FDCD4" w14:textId="77777777" w:rsidR="00DA0B67" w:rsidRPr="00DA0B67" w:rsidRDefault="00DA0B67" w:rsidP="00DA0B67">
            <w:pPr>
              <w:rPr>
                <w:lang w:eastAsia="en-NZ"/>
              </w:rPr>
            </w:pPr>
            <w:r w:rsidRPr="00DA0B67">
              <w:rPr>
                <w:lang w:eastAsia="en-NZ"/>
              </w:rPr>
              <w:t>Welfare &amp; Recreation</w:t>
            </w:r>
          </w:p>
        </w:tc>
        <w:tc>
          <w:tcPr>
            <w:tcW w:w="1662" w:type="dxa"/>
            <w:tcBorders>
              <w:top w:val="nil"/>
              <w:left w:val="nil"/>
              <w:bottom w:val="single" w:sz="4" w:space="0" w:color="auto"/>
              <w:right w:val="single" w:sz="4" w:space="0" w:color="auto"/>
            </w:tcBorders>
            <w:shd w:val="clear" w:color="auto" w:fill="auto"/>
            <w:noWrap/>
            <w:vAlign w:val="bottom"/>
            <w:hideMark/>
          </w:tcPr>
          <w:p w14:paraId="75377413"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6B6CEC8B" w14:textId="77777777" w:rsidR="00DA0B67" w:rsidRPr="00DA0B67" w:rsidRDefault="00DA0B67" w:rsidP="00DA0B67">
            <w:pPr>
              <w:rPr>
                <w:lang w:eastAsia="en-NZ"/>
              </w:rPr>
            </w:pPr>
            <w:r w:rsidRPr="00DA0B67">
              <w:rPr>
                <w:lang w:eastAsia="en-NZ"/>
              </w:rPr>
              <w:t xml:space="preserve"> $           75.20 </w:t>
            </w:r>
          </w:p>
        </w:tc>
        <w:tc>
          <w:tcPr>
            <w:tcW w:w="1560" w:type="dxa"/>
            <w:tcBorders>
              <w:top w:val="nil"/>
              <w:left w:val="nil"/>
              <w:bottom w:val="single" w:sz="4" w:space="0" w:color="auto"/>
              <w:right w:val="single" w:sz="4" w:space="0" w:color="auto"/>
            </w:tcBorders>
            <w:shd w:val="clear" w:color="auto" w:fill="auto"/>
            <w:noWrap/>
            <w:vAlign w:val="bottom"/>
            <w:hideMark/>
          </w:tcPr>
          <w:p w14:paraId="4CBB8336" w14:textId="77777777" w:rsidR="00DA0B67" w:rsidRPr="00DA0B67" w:rsidRDefault="00DA0B67" w:rsidP="00DA0B67">
            <w:pPr>
              <w:rPr>
                <w:lang w:eastAsia="en-NZ"/>
              </w:rPr>
            </w:pPr>
            <w:r w:rsidRPr="00DA0B67">
              <w:rPr>
                <w:lang w:eastAsia="en-NZ"/>
              </w:rPr>
              <w:t xml:space="preserve"> $          154.80 </w:t>
            </w:r>
          </w:p>
        </w:tc>
        <w:tc>
          <w:tcPr>
            <w:tcW w:w="1417" w:type="dxa"/>
            <w:tcBorders>
              <w:top w:val="nil"/>
              <w:left w:val="nil"/>
              <w:bottom w:val="single" w:sz="4" w:space="0" w:color="auto"/>
              <w:right w:val="single" w:sz="4" w:space="0" w:color="auto"/>
            </w:tcBorders>
            <w:shd w:val="clear" w:color="auto" w:fill="auto"/>
            <w:noWrap/>
            <w:vAlign w:val="bottom"/>
            <w:hideMark/>
          </w:tcPr>
          <w:p w14:paraId="50A58C0D" w14:textId="77777777" w:rsidR="00DA0B67" w:rsidRPr="00DA0B67" w:rsidRDefault="00DA0B67" w:rsidP="00DA0B67">
            <w:pPr>
              <w:rPr>
                <w:lang w:eastAsia="en-NZ"/>
              </w:rPr>
            </w:pPr>
            <w:r w:rsidRPr="00DA0B67">
              <w:rPr>
                <w:lang w:eastAsia="en-NZ"/>
              </w:rPr>
              <w:t> </w:t>
            </w:r>
          </w:p>
        </w:tc>
        <w:tc>
          <w:tcPr>
            <w:tcW w:w="1418" w:type="dxa"/>
            <w:tcBorders>
              <w:top w:val="nil"/>
              <w:left w:val="nil"/>
              <w:bottom w:val="nil"/>
              <w:right w:val="nil"/>
            </w:tcBorders>
            <w:shd w:val="clear" w:color="auto" w:fill="auto"/>
            <w:noWrap/>
            <w:vAlign w:val="bottom"/>
            <w:hideMark/>
          </w:tcPr>
          <w:p w14:paraId="79FABBF7" w14:textId="77777777" w:rsidR="00DA0B67" w:rsidRPr="00DA0B67" w:rsidRDefault="00DA0B67" w:rsidP="00DA0B67">
            <w:pPr>
              <w:rPr>
                <w:lang w:eastAsia="en-NZ"/>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09EC7E"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C257B1"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AB0ACE" w14:textId="77777777" w:rsidR="00DA0B67" w:rsidRPr="00DA0B67" w:rsidRDefault="00DA0B67" w:rsidP="00DA0B67">
            <w:pPr>
              <w:rPr>
                <w:lang w:eastAsia="en-NZ"/>
              </w:rPr>
            </w:pPr>
            <w:r w:rsidRPr="00DA0B67">
              <w:rPr>
                <w:lang w:eastAsia="en-NZ"/>
              </w:rPr>
              <w:t> </w:t>
            </w:r>
          </w:p>
        </w:tc>
      </w:tr>
      <w:tr w:rsidR="00DA0B67" w:rsidRPr="00DA0B67" w14:paraId="310E2EDD"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42D5C34A" w14:textId="77777777" w:rsidR="00DA0B67" w:rsidRPr="00DA0B67" w:rsidRDefault="00DA0B67" w:rsidP="00DA0B67">
            <w:pPr>
              <w:rPr>
                <w:lang w:eastAsia="en-NZ"/>
              </w:rPr>
            </w:pPr>
            <w:r w:rsidRPr="00DA0B67">
              <w:rPr>
                <w:lang w:eastAsia="en-NZ"/>
              </w:rPr>
              <w:t>Student Services</w:t>
            </w:r>
          </w:p>
        </w:tc>
        <w:tc>
          <w:tcPr>
            <w:tcW w:w="1662" w:type="dxa"/>
            <w:tcBorders>
              <w:top w:val="nil"/>
              <w:left w:val="nil"/>
              <w:bottom w:val="single" w:sz="4" w:space="0" w:color="auto"/>
              <w:right w:val="single" w:sz="4" w:space="0" w:color="auto"/>
            </w:tcBorders>
            <w:shd w:val="clear" w:color="auto" w:fill="auto"/>
            <w:noWrap/>
            <w:vAlign w:val="bottom"/>
            <w:hideMark/>
          </w:tcPr>
          <w:p w14:paraId="1DB1BDAF" w14:textId="6E43160C" w:rsidR="00DA0B67" w:rsidRPr="00DA0B67" w:rsidRDefault="00DA0B67" w:rsidP="00DA0B67">
            <w:pPr>
              <w:rPr>
                <w:lang w:eastAsia="en-NZ"/>
              </w:rPr>
            </w:pPr>
            <w:r w:rsidRPr="00DA0B67">
              <w:rPr>
                <w:lang w:eastAsia="en-NZ"/>
              </w:rPr>
              <w:t xml:space="preserve"> $           827.00 </w:t>
            </w:r>
          </w:p>
        </w:tc>
        <w:tc>
          <w:tcPr>
            <w:tcW w:w="1791" w:type="dxa"/>
            <w:tcBorders>
              <w:top w:val="nil"/>
              <w:left w:val="nil"/>
              <w:bottom w:val="single" w:sz="4" w:space="0" w:color="auto"/>
              <w:right w:val="single" w:sz="4" w:space="0" w:color="auto"/>
            </w:tcBorders>
            <w:shd w:val="clear" w:color="auto" w:fill="auto"/>
            <w:noWrap/>
            <w:vAlign w:val="bottom"/>
            <w:hideMark/>
          </w:tcPr>
          <w:p w14:paraId="46C6A735" w14:textId="77777777" w:rsidR="00DA0B67" w:rsidRPr="00DA0B67" w:rsidRDefault="00DA0B67" w:rsidP="00DA0B67">
            <w:pPr>
              <w:rPr>
                <w:lang w:eastAsia="en-NZ"/>
              </w:rPr>
            </w:pPr>
            <w:r w:rsidRPr="00DA0B67">
              <w:rPr>
                <w:lang w:eastAsia="en-NZ"/>
              </w:rPr>
              <w:t xml:space="preserve"> $        573.60 </w:t>
            </w:r>
          </w:p>
        </w:tc>
        <w:tc>
          <w:tcPr>
            <w:tcW w:w="1560" w:type="dxa"/>
            <w:tcBorders>
              <w:top w:val="nil"/>
              <w:left w:val="nil"/>
              <w:bottom w:val="single" w:sz="4" w:space="0" w:color="auto"/>
              <w:right w:val="single" w:sz="4" w:space="0" w:color="auto"/>
            </w:tcBorders>
            <w:shd w:val="clear" w:color="auto" w:fill="auto"/>
            <w:noWrap/>
            <w:vAlign w:val="bottom"/>
            <w:hideMark/>
          </w:tcPr>
          <w:p w14:paraId="4E0984C7" w14:textId="77777777" w:rsidR="00DA0B67" w:rsidRPr="00DA0B67" w:rsidRDefault="00DA0B67" w:rsidP="00DA0B67">
            <w:pPr>
              <w:rPr>
                <w:lang w:eastAsia="en-NZ"/>
              </w:rPr>
            </w:pPr>
            <w:r w:rsidRPr="00DA0B67">
              <w:rPr>
                <w:lang w:eastAsia="en-NZ"/>
              </w:rPr>
              <w:t xml:space="preserve"> $          573.60 </w:t>
            </w:r>
          </w:p>
        </w:tc>
        <w:tc>
          <w:tcPr>
            <w:tcW w:w="1417" w:type="dxa"/>
            <w:tcBorders>
              <w:top w:val="nil"/>
              <w:left w:val="nil"/>
              <w:bottom w:val="single" w:sz="4" w:space="0" w:color="auto"/>
              <w:right w:val="single" w:sz="4" w:space="0" w:color="auto"/>
            </w:tcBorders>
            <w:shd w:val="clear" w:color="auto" w:fill="auto"/>
            <w:noWrap/>
            <w:vAlign w:val="bottom"/>
            <w:hideMark/>
          </w:tcPr>
          <w:p w14:paraId="5E37AF0B" w14:textId="77777777" w:rsidR="00DA0B67" w:rsidRPr="00DA0B67" w:rsidRDefault="00DA0B67" w:rsidP="00DA0B67">
            <w:pPr>
              <w:rPr>
                <w:lang w:eastAsia="en-NZ"/>
              </w:rPr>
            </w:pPr>
            <w:r w:rsidRPr="00DA0B67">
              <w:rPr>
                <w:lang w:eastAsia="en-NZ"/>
              </w:rPr>
              <w:t xml:space="preserve"> $ 813.74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43104A" w14:textId="77777777" w:rsidR="00DA0B67" w:rsidRPr="00DA0B67" w:rsidRDefault="00DA0B67" w:rsidP="00DA0B67">
            <w:pPr>
              <w:rPr>
                <w:lang w:eastAsia="en-NZ"/>
              </w:rPr>
            </w:pPr>
            <w:r w:rsidRPr="00DA0B67">
              <w:rPr>
                <w:lang w:eastAsia="en-NZ"/>
              </w:rPr>
              <w:t xml:space="preserve"> $ 700.00 </w:t>
            </w:r>
          </w:p>
        </w:tc>
        <w:tc>
          <w:tcPr>
            <w:tcW w:w="1559" w:type="dxa"/>
            <w:tcBorders>
              <w:top w:val="nil"/>
              <w:left w:val="nil"/>
              <w:bottom w:val="single" w:sz="4" w:space="0" w:color="auto"/>
              <w:right w:val="single" w:sz="4" w:space="0" w:color="auto"/>
            </w:tcBorders>
            <w:shd w:val="clear" w:color="auto" w:fill="auto"/>
            <w:noWrap/>
            <w:vAlign w:val="bottom"/>
            <w:hideMark/>
          </w:tcPr>
          <w:p w14:paraId="3CD4B1D0" w14:textId="77777777" w:rsidR="00DA0B67" w:rsidRPr="00DA0B67" w:rsidRDefault="00DA0B67" w:rsidP="00DA0B67">
            <w:pPr>
              <w:rPr>
                <w:lang w:eastAsia="en-NZ"/>
              </w:rPr>
            </w:pPr>
            <w:r w:rsidRPr="00DA0B67">
              <w:rPr>
                <w:lang w:eastAsia="en-NZ"/>
              </w:rPr>
              <w:t xml:space="preserve"> $ 790.00 </w:t>
            </w:r>
          </w:p>
        </w:tc>
        <w:tc>
          <w:tcPr>
            <w:tcW w:w="1417" w:type="dxa"/>
            <w:tcBorders>
              <w:top w:val="nil"/>
              <w:left w:val="nil"/>
              <w:bottom w:val="nil"/>
              <w:right w:val="nil"/>
            </w:tcBorders>
            <w:shd w:val="clear" w:color="auto" w:fill="auto"/>
            <w:noWrap/>
            <w:vAlign w:val="bottom"/>
            <w:hideMark/>
          </w:tcPr>
          <w:p w14:paraId="46B6449D" w14:textId="77777777" w:rsidR="00DA0B67" w:rsidRPr="00DA0B67" w:rsidRDefault="00DA0B67" w:rsidP="00DA0B67">
            <w:pPr>
              <w:rPr>
                <w:lang w:eastAsia="en-NZ"/>
              </w:rPr>
            </w:pPr>
            <w:r w:rsidRPr="00DA0B67">
              <w:rPr>
                <w:lang w:eastAsia="en-NZ"/>
              </w:rPr>
              <w:t xml:space="preserve"> $ 847.20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97322E2" w14:textId="77777777" w:rsidR="00DA0B67" w:rsidRPr="00DA0B67" w:rsidRDefault="00DA0B67" w:rsidP="00DA0B67">
            <w:pPr>
              <w:rPr>
                <w:lang w:eastAsia="en-NZ"/>
              </w:rPr>
            </w:pPr>
            <w:r w:rsidRPr="00DA0B67">
              <w:rPr>
                <w:lang w:eastAsia="en-NZ"/>
              </w:rPr>
              <w:t xml:space="preserve"> $ 646.00 </w:t>
            </w:r>
          </w:p>
        </w:tc>
      </w:tr>
      <w:tr w:rsidR="00DA0B67" w:rsidRPr="00DA0B67" w14:paraId="5FF77DED"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0828AA4E" w14:textId="77777777" w:rsidR="00DA0B67" w:rsidRPr="00DA0B67" w:rsidRDefault="00DA0B67" w:rsidP="00DA0B67">
            <w:pPr>
              <w:rPr>
                <w:lang w:eastAsia="en-NZ"/>
              </w:rPr>
            </w:pPr>
            <w:r w:rsidRPr="00DA0B67">
              <w:rPr>
                <w:lang w:eastAsia="en-NZ"/>
              </w:rPr>
              <w:t>Student Association</w:t>
            </w:r>
          </w:p>
        </w:tc>
        <w:tc>
          <w:tcPr>
            <w:tcW w:w="1662" w:type="dxa"/>
            <w:tcBorders>
              <w:top w:val="nil"/>
              <w:left w:val="nil"/>
              <w:bottom w:val="single" w:sz="4" w:space="0" w:color="auto"/>
              <w:right w:val="single" w:sz="4" w:space="0" w:color="auto"/>
            </w:tcBorders>
            <w:shd w:val="clear" w:color="auto" w:fill="auto"/>
            <w:noWrap/>
            <w:vAlign w:val="bottom"/>
            <w:hideMark/>
          </w:tcPr>
          <w:p w14:paraId="1B1A39E5"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582BCB93" w14:textId="77777777" w:rsidR="00DA0B67" w:rsidRPr="00DA0B67" w:rsidRDefault="00DA0B67" w:rsidP="00DA0B67">
            <w:pPr>
              <w:rPr>
                <w:lang w:eastAsia="en-NZ"/>
              </w:rPr>
            </w:pPr>
            <w:r w:rsidRPr="00DA0B67">
              <w:rPr>
                <w:lang w:eastAsia="en-NZ"/>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2DA7E3"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298E6F01"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455466" w14:textId="77777777" w:rsidR="00DA0B67" w:rsidRPr="00DA0B67" w:rsidRDefault="00DA0B67" w:rsidP="00DA0B67">
            <w:pPr>
              <w:rPr>
                <w:lang w:eastAsia="en-NZ"/>
              </w:rPr>
            </w:pPr>
            <w:r w:rsidRPr="00DA0B67">
              <w:rPr>
                <w:lang w:eastAsia="en-NZ"/>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C3C17D" w14:textId="77777777" w:rsidR="00DA0B67" w:rsidRPr="00DA0B67" w:rsidRDefault="00DA0B67" w:rsidP="00DA0B67">
            <w:pPr>
              <w:rPr>
                <w:lang w:eastAsia="en-NZ"/>
              </w:rPr>
            </w:pPr>
            <w:r w:rsidRPr="00DA0B67">
              <w:rPr>
                <w:lang w:eastAsia="en-NZ"/>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E2E2F4"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97EEF" w14:textId="77777777" w:rsidR="00DA0B67" w:rsidRPr="00DA0B67" w:rsidRDefault="00DA0B67" w:rsidP="00DA0B67">
            <w:pPr>
              <w:rPr>
                <w:lang w:eastAsia="en-NZ"/>
              </w:rPr>
            </w:pPr>
            <w:r w:rsidRPr="00DA0B67">
              <w:rPr>
                <w:lang w:eastAsia="en-NZ"/>
              </w:rPr>
              <w:t> </w:t>
            </w:r>
          </w:p>
        </w:tc>
      </w:tr>
      <w:tr w:rsidR="00DA0B67" w:rsidRPr="00DA0B67" w14:paraId="199728CF"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34A6C48A" w14:textId="77777777" w:rsidR="00DA0B67" w:rsidRPr="00DA0B67" w:rsidRDefault="00DA0B67" w:rsidP="00DA0B67">
            <w:pPr>
              <w:rPr>
                <w:lang w:eastAsia="en-NZ"/>
              </w:rPr>
            </w:pPr>
            <w:r w:rsidRPr="00DA0B67">
              <w:rPr>
                <w:lang w:eastAsia="en-NZ"/>
              </w:rPr>
              <w:t>Foundation Levy</w:t>
            </w:r>
          </w:p>
        </w:tc>
        <w:tc>
          <w:tcPr>
            <w:tcW w:w="1662" w:type="dxa"/>
            <w:tcBorders>
              <w:top w:val="nil"/>
              <w:left w:val="nil"/>
              <w:bottom w:val="single" w:sz="4" w:space="0" w:color="auto"/>
              <w:right w:val="single" w:sz="4" w:space="0" w:color="auto"/>
            </w:tcBorders>
            <w:shd w:val="clear" w:color="auto" w:fill="auto"/>
            <w:noWrap/>
            <w:vAlign w:val="bottom"/>
            <w:hideMark/>
          </w:tcPr>
          <w:p w14:paraId="7CCEBAFF"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21E8B2D0" w14:textId="77777777" w:rsidR="00DA0B67" w:rsidRPr="00DA0B67" w:rsidRDefault="00DA0B67" w:rsidP="00DA0B67">
            <w:pPr>
              <w:rPr>
                <w:lang w:eastAsia="en-NZ"/>
              </w:rPr>
            </w:pPr>
            <w:r w:rsidRPr="00DA0B67">
              <w:rPr>
                <w:lang w:eastAsia="en-NZ"/>
              </w:rPr>
              <w:t xml:space="preserve"> $           24.00 </w:t>
            </w:r>
          </w:p>
        </w:tc>
        <w:tc>
          <w:tcPr>
            <w:tcW w:w="1560" w:type="dxa"/>
            <w:tcBorders>
              <w:top w:val="nil"/>
              <w:left w:val="nil"/>
              <w:bottom w:val="single" w:sz="4" w:space="0" w:color="auto"/>
              <w:right w:val="single" w:sz="4" w:space="0" w:color="auto"/>
            </w:tcBorders>
            <w:shd w:val="clear" w:color="auto" w:fill="auto"/>
            <w:noWrap/>
            <w:vAlign w:val="bottom"/>
            <w:hideMark/>
          </w:tcPr>
          <w:p w14:paraId="772097DF" w14:textId="77777777" w:rsidR="00DA0B67" w:rsidRPr="00DA0B67" w:rsidRDefault="00DA0B67" w:rsidP="00DA0B67">
            <w:pPr>
              <w:rPr>
                <w:lang w:eastAsia="en-NZ"/>
              </w:rPr>
            </w:pPr>
            <w:r w:rsidRPr="00DA0B67">
              <w:rPr>
                <w:lang w:eastAsia="en-NZ"/>
              </w:rPr>
              <w:t xml:space="preserve"> $            24.00 </w:t>
            </w:r>
          </w:p>
        </w:tc>
        <w:tc>
          <w:tcPr>
            <w:tcW w:w="1417" w:type="dxa"/>
            <w:tcBorders>
              <w:top w:val="nil"/>
              <w:left w:val="nil"/>
              <w:bottom w:val="single" w:sz="4" w:space="0" w:color="auto"/>
              <w:right w:val="single" w:sz="4" w:space="0" w:color="auto"/>
            </w:tcBorders>
            <w:shd w:val="clear" w:color="auto" w:fill="auto"/>
            <w:noWrap/>
            <w:vAlign w:val="bottom"/>
            <w:hideMark/>
          </w:tcPr>
          <w:p w14:paraId="386F3CB3"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786E14" w14:textId="77777777" w:rsidR="00DA0B67" w:rsidRPr="00DA0B67" w:rsidRDefault="00DA0B67" w:rsidP="00DA0B67">
            <w:pPr>
              <w:rPr>
                <w:lang w:eastAsia="en-NZ"/>
              </w:rPr>
            </w:pPr>
            <w:r w:rsidRPr="00DA0B67">
              <w:rPr>
                <w:lang w:eastAsia="en-NZ"/>
              </w:rPr>
              <w:t> </w:t>
            </w:r>
          </w:p>
        </w:tc>
        <w:tc>
          <w:tcPr>
            <w:tcW w:w="1559" w:type="dxa"/>
            <w:tcBorders>
              <w:top w:val="nil"/>
              <w:left w:val="nil"/>
              <w:bottom w:val="single" w:sz="4" w:space="0" w:color="auto"/>
              <w:right w:val="single" w:sz="4" w:space="0" w:color="auto"/>
            </w:tcBorders>
            <w:shd w:val="clear" w:color="auto" w:fill="auto"/>
            <w:noWrap/>
            <w:vAlign w:val="bottom"/>
            <w:hideMark/>
          </w:tcPr>
          <w:p w14:paraId="0D23C0F2"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ADC8ED"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01EABD" w14:textId="77777777" w:rsidR="00DA0B67" w:rsidRPr="00DA0B67" w:rsidRDefault="00DA0B67" w:rsidP="00DA0B67">
            <w:pPr>
              <w:rPr>
                <w:lang w:eastAsia="en-NZ"/>
              </w:rPr>
            </w:pPr>
            <w:r w:rsidRPr="00DA0B67">
              <w:rPr>
                <w:lang w:eastAsia="en-NZ"/>
              </w:rPr>
              <w:t> </w:t>
            </w:r>
          </w:p>
        </w:tc>
      </w:tr>
      <w:tr w:rsidR="00DA0B67" w:rsidRPr="00DA0B67" w14:paraId="62CC1F9B"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57054000" w14:textId="77777777" w:rsidR="00DA0B67" w:rsidRPr="00DA0B67" w:rsidRDefault="00DA0B67" w:rsidP="00DA0B67">
            <w:pPr>
              <w:rPr>
                <w:lang w:eastAsia="en-NZ"/>
              </w:rPr>
            </w:pPr>
            <w:r w:rsidRPr="00DA0B67">
              <w:rPr>
                <w:lang w:eastAsia="en-NZ"/>
              </w:rPr>
              <w:t>TOTAL - 2019</w:t>
            </w:r>
          </w:p>
        </w:tc>
        <w:tc>
          <w:tcPr>
            <w:tcW w:w="1662" w:type="dxa"/>
            <w:tcBorders>
              <w:top w:val="nil"/>
              <w:left w:val="nil"/>
              <w:bottom w:val="single" w:sz="4" w:space="0" w:color="auto"/>
              <w:right w:val="single" w:sz="4" w:space="0" w:color="auto"/>
            </w:tcBorders>
            <w:shd w:val="clear" w:color="auto" w:fill="auto"/>
            <w:noWrap/>
            <w:vAlign w:val="bottom"/>
            <w:hideMark/>
          </w:tcPr>
          <w:p w14:paraId="7F751FAE" w14:textId="257B4AA6" w:rsidR="00DA0B67" w:rsidRPr="00DA0B67" w:rsidRDefault="00DA0B67" w:rsidP="00DA0B67">
            <w:pPr>
              <w:rPr>
                <w:lang w:eastAsia="en-NZ"/>
              </w:rPr>
            </w:pPr>
            <w:r w:rsidRPr="00DA0B67">
              <w:rPr>
                <w:lang w:eastAsia="en-NZ"/>
              </w:rPr>
              <w:t xml:space="preserve"> $           827.00 </w:t>
            </w:r>
          </w:p>
        </w:tc>
        <w:tc>
          <w:tcPr>
            <w:tcW w:w="1791" w:type="dxa"/>
            <w:tcBorders>
              <w:top w:val="nil"/>
              <w:left w:val="nil"/>
              <w:bottom w:val="single" w:sz="4" w:space="0" w:color="auto"/>
              <w:right w:val="single" w:sz="4" w:space="0" w:color="auto"/>
            </w:tcBorders>
            <w:shd w:val="clear" w:color="auto" w:fill="auto"/>
            <w:noWrap/>
            <w:vAlign w:val="bottom"/>
            <w:hideMark/>
          </w:tcPr>
          <w:p w14:paraId="4B4D54B1" w14:textId="77777777" w:rsidR="00DA0B67" w:rsidRPr="00DA0B67" w:rsidRDefault="00DA0B67" w:rsidP="00DA0B67">
            <w:pPr>
              <w:rPr>
                <w:lang w:eastAsia="en-NZ"/>
              </w:rPr>
            </w:pPr>
            <w:r w:rsidRPr="00DA0B67">
              <w:rPr>
                <w:lang w:eastAsia="en-NZ"/>
              </w:rPr>
              <w:t xml:space="preserve"> $        703.00 </w:t>
            </w:r>
          </w:p>
        </w:tc>
        <w:tc>
          <w:tcPr>
            <w:tcW w:w="1560" w:type="dxa"/>
            <w:tcBorders>
              <w:top w:val="nil"/>
              <w:left w:val="nil"/>
              <w:bottom w:val="single" w:sz="4" w:space="0" w:color="auto"/>
              <w:right w:val="single" w:sz="4" w:space="0" w:color="auto"/>
            </w:tcBorders>
            <w:shd w:val="clear" w:color="auto" w:fill="auto"/>
            <w:noWrap/>
            <w:vAlign w:val="bottom"/>
            <w:hideMark/>
          </w:tcPr>
          <w:p w14:paraId="70B6D527" w14:textId="77777777" w:rsidR="00DA0B67" w:rsidRPr="00DA0B67" w:rsidRDefault="00DA0B67" w:rsidP="00DA0B67">
            <w:pPr>
              <w:rPr>
                <w:lang w:eastAsia="en-NZ"/>
              </w:rPr>
            </w:pPr>
            <w:r w:rsidRPr="00DA0B67">
              <w:rPr>
                <w:lang w:eastAsia="en-NZ"/>
              </w:rPr>
              <w:t xml:space="preserve"> $          752.40 </w:t>
            </w:r>
          </w:p>
        </w:tc>
        <w:tc>
          <w:tcPr>
            <w:tcW w:w="1417" w:type="dxa"/>
            <w:tcBorders>
              <w:top w:val="nil"/>
              <w:left w:val="nil"/>
              <w:bottom w:val="single" w:sz="4" w:space="0" w:color="auto"/>
              <w:right w:val="single" w:sz="4" w:space="0" w:color="auto"/>
            </w:tcBorders>
            <w:shd w:val="clear" w:color="auto" w:fill="auto"/>
            <w:noWrap/>
            <w:vAlign w:val="bottom"/>
            <w:hideMark/>
          </w:tcPr>
          <w:p w14:paraId="311C249E" w14:textId="77777777" w:rsidR="00DA0B67" w:rsidRPr="00DA0B67" w:rsidRDefault="00DA0B67" w:rsidP="00DA0B67">
            <w:pPr>
              <w:rPr>
                <w:lang w:eastAsia="en-NZ"/>
              </w:rPr>
            </w:pPr>
            <w:r w:rsidRPr="00DA0B67">
              <w:rPr>
                <w:lang w:eastAsia="en-NZ"/>
              </w:rPr>
              <w:t xml:space="preserve"> $ 813.74 </w:t>
            </w:r>
          </w:p>
        </w:tc>
        <w:tc>
          <w:tcPr>
            <w:tcW w:w="1418" w:type="dxa"/>
            <w:tcBorders>
              <w:top w:val="nil"/>
              <w:left w:val="nil"/>
              <w:bottom w:val="single" w:sz="4" w:space="0" w:color="auto"/>
              <w:right w:val="single" w:sz="4" w:space="0" w:color="auto"/>
            </w:tcBorders>
            <w:shd w:val="clear" w:color="auto" w:fill="auto"/>
            <w:noWrap/>
            <w:vAlign w:val="bottom"/>
            <w:hideMark/>
          </w:tcPr>
          <w:p w14:paraId="1FB58729" w14:textId="77777777" w:rsidR="00DA0B67" w:rsidRPr="00DA0B67" w:rsidRDefault="00DA0B67" w:rsidP="00DA0B67">
            <w:pPr>
              <w:rPr>
                <w:lang w:eastAsia="en-NZ"/>
              </w:rPr>
            </w:pPr>
            <w:r w:rsidRPr="00DA0B67">
              <w:rPr>
                <w:lang w:eastAsia="en-NZ"/>
              </w:rPr>
              <w:t xml:space="preserve"> $ 700.00 </w:t>
            </w:r>
          </w:p>
        </w:tc>
        <w:tc>
          <w:tcPr>
            <w:tcW w:w="1559" w:type="dxa"/>
            <w:tcBorders>
              <w:top w:val="nil"/>
              <w:left w:val="nil"/>
              <w:bottom w:val="single" w:sz="4" w:space="0" w:color="auto"/>
              <w:right w:val="single" w:sz="4" w:space="0" w:color="auto"/>
            </w:tcBorders>
            <w:shd w:val="clear" w:color="auto" w:fill="auto"/>
            <w:noWrap/>
            <w:vAlign w:val="bottom"/>
            <w:hideMark/>
          </w:tcPr>
          <w:p w14:paraId="120EE77F" w14:textId="77777777" w:rsidR="00DA0B67" w:rsidRPr="00DA0B67" w:rsidRDefault="00DA0B67" w:rsidP="00DA0B67">
            <w:pPr>
              <w:rPr>
                <w:lang w:eastAsia="en-NZ"/>
              </w:rPr>
            </w:pPr>
            <w:r w:rsidRPr="00DA0B67">
              <w:rPr>
                <w:lang w:eastAsia="en-NZ"/>
              </w:rPr>
              <w:t xml:space="preserve"> $ 817.60 </w:t>
            </w:r>
          </w:p>
        </w:tc>
        <w:tc>
          <w:tcPr>
            <w:tcW w:w="1417" w:type="dxa"/>
            <w:tcBorders>
              <w:top w:val="nil"/>
              <w:left w:val="nil"/>
              <w:bottom w:val="single" w:sz="4" w:space="0" w:color="auto"/>
              <w:right w:val="single" w:sz="4" w:space="0" w:color="auto"/>
            </w:tcBorders>
            <w:shd w:val="clear" w:color="auto" w:fill="auto"/>
            <w:noWrap/>
            <w:vAlign w:val="bottom"/>
            <w:hideMark/>
          </w:tcPr>
          <w:p w14:paraId="60D39E12" w14:textId="77777777" w:rsidR="00DA0B67" w:rsidRPr="00DA0B67" w:rsidRDefault="00DA0B67" w:rsidP="00DA0B67">
            <w:pPr>
              <w:rPr>
                <w:lang w:eastAsia="en-NZ"/>
              </w:rPr>
            </w:pPr>
            <w:r w:rsidRPr="00DA0B67">
              <w:rPr>
                <w:lang w:eastAsia="en-NZ"/>
              </w:rPr>
              <w:t xml:space="preserve"> $ 847.20 </w:t>
            </w:r>
          </w:p>
        </w:tc>
        <w:tc>
          <w:tcPr>
            <w:tcW w:w="1418" w:type="dxa"/>
            <w:tcBorders>
              <w:top w:val="nil"/>
              <w:left w:val="nil"/>
              <w:bottom w:val="single" w:sz="4" w:space="0" w:color="auto"/>
              <w:right w:val="single" w:sz="4" w:space="0" w:color="auto"/>
            </w:tcBorders>
            <w:shd w:val="clear" w:color="auto" w:fill="auto"/>
            <w:noWrap/>
            <w:vAlign w:val="bottom"/>
            <w:hideMark/>
          </w:tcPr>
          <w:p w14:paraId="3163F574" w14:textId="77777777" w:rsidR="00DA0B67" w:rsidRPr="00DA0B67" w:rsidRDefault="00DA0B67" w:rsidP="00DA0B67">
            <w:pPr>
              <w:rPr>
                <w:lang w:eastAsia="en-NZ"/>
              </w:rPr>
            </w:pPr>
            <w:r w:rsidRPr="00DA0B67">
              <w:rPr>
                <w:lang w:eastAsia="en-NZ"/>
              </w:rPr>
              <w:t xml:space="preserve"> $ 717.00 </w:t>
            </w:r>
          </w:p>
        </w:tc>
      </w:tr>
      <w:tr w:rsidR="00DA0B67" w:rsidRPr="00DA0B67" w14:paraId="4580C6E6"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4BE56D8D" w14:textId="77777777" w:rsidR="00DA0B67" w:rsidRPr="00DA0B67" w:rsidRDefault="00DA0B67" w:rsidP="00DA0B67">
            <w:pPr>
              <w:rPr>
                <w:lang w:eastAsia="en-NZ"/>
              </w:rPr>
            </w:pPr>
            <w:r w:rsidRPr="00DA0B67">
              <w:rPr>
                <w:lang w:eastAsia="en-NZ"/>
              </w:rPr>
              <w:t>TOTAL - 2018</w:t>
            </w:r>
          </w:p>
        </w:tc>
        <w:tc>
          <w:tcPr>
            <w:tcW w:w="1662" w:type="dxa"/>
            <w:tcBorders>
              <w:top w:val="nil"/>
              <w:left w:val="nil"/>
              <w:bottom w:val="nil"/>
              <w:right w:val="nil"/>
            </w:tcBorders>
            <w:shd w:val="clear" w:color="auto" w:fill="auto"/>
            <w:noWrap/>
            <w:vAlign w:val="bottom"/>
            <w:hideMark/>
          </w:tcPr>
          <w:p w14:paraId="3BA897CF" w14:textId="36E6D640" w:rsidR="00DA0B67" w:rsidRPr="00DA0B67" w:rsidRDefault="00DA0B67" w:rsidP="00DA0B67">
            <w:pPr>
              <w:rPr>
                <w:lang w:eastAsia="en-NZ"/>
              </w:rPr>
            </w:pPr>
            <w:r w:rsidRPr="00DA0B67">
              <w:rPr>
                <w:lang w:eastAsia="en-NZ"/>
              </w:rPr>
              <w:t xml:space="preserve"> $           811.00 </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4DD4B504" w14:textId="77777777" w:rsidR="00DA0B67" w:rsidRPr="00DA0B67" w:rsidRDefault="00DA0B67" w:rsidP="00DA0B67">
            <w:pPr>
              <w:rPr>
                <w:lang w:eastAsia="en-NZ"/>
              </w:rPr>
            </w:pPr>
            <w:r w:rsidRPr="00DA0B67">
              <w:rPr>
                <w:lang w:eastAsia="en-NZ"/>
              </w:rPr>
              <w:t xml:space="preserve"> $        695.50 </w:t>
            </w:r>
          </w:p>
        </w:tc>
        <w:tc>
          <w:tcPr>
            <w:tcW w:w="1560" w:type="dxa"/>
            <w:tcBorders>
              <w:top w:val="nil"/>
              <w:left w:val="nil"/>
              <w:bottom w:val="single" w:sz="4" w:space="0" w:color="auto"/>
              <w:right w:val="single" w:sz="4" w:space="0" w:color="auto"/>
            </w:tcBorders>
            <w:shd w:val="clear" w:color="auto" w:fill="auto"/>
            <w:noWrap/>
            <w:vAlign w:val="bottom"/>
            <w:hideMark/>
          </w:tcPr>
          <w:p w14:paraId="74314BF7" w14:textId="77777777" w:rsidR="00DA0B67" w:rsidRPr="00DA0B67" w:rsidRDefault="00DA0B67" w:rsidP="00DA0B67">
            <w:pPr>
              <w:rPr>
                <w:lang w:eastAsia="en-NZ"/>
              </w:rPr>
            </w:pPr>
            <w:r w:rsidRPr="00DA0B67">
              <w:rPr>
                <w:lang w:eastAsia="en-NZ"/>
              </w:rPr>
              <w:t xml:space="preserve"> $          744.40 </w:t>
            </w:r>
          </w:p>
        </w:tc>
        <w:tc>
          <w:tcPr>
            <w:tcW w:w="1417" w:type="dxa"/>
            <w:tcBorders>
              <w:top w:val="nil"/>
              <w:left w:val="nil"/>
              <w:bottom w:val="single" w:sz="4" w:space="0" w:color="auto"/>
              <w:right w:val="single" w:sz="4" w:space="0" w:color="auto"/>
            </w:tcBorders>
            <w:shd w:val="clear" w:color="auto" w:fill="auto"/>
            <w:noWrap/>
            <w:vAlign w:val="bottom"/>
            <w:hideMark/>
          </w:tcPr>
          <w:p w14:paraId="223C4A0E" w14:textId="77777777" w:rsidR="00DA0B67" w:rsidRPr="00DA0B67" w:rsidRDefault="00DA0B67" w:rsidP="00DA0B67">
            <w:pPr>
              <w:rPr>
                <w:lang w:eastAsia="en-NZ"/>
              </w:rPr>
            </w:pPr>
            <w:r w:rsidRPr="00DA0B67">
              <w:rPr>
                <w:lang w:eastAsia="en-NZ"/>
              </w:rPr>
              <w:t xml:space="preserve"> $ 798.00 </w:t>
            </w:r>
          </w:p>
        </w:tc>
        <w:tc>
          <w:tcPr>
            <w:tcW w:w="1418" w:type="dxa"/>
            <w:tcBorders>
              <w:top w:val="nil"/>
              <w:left w:val="nil"/>
              <w:bottom w:val="single" w:sz="4" w:space="0" w:color="auto"/>
              <w:right w:val="single" w:sz="4" w:space="0" w:color="auto"/>
            </w:tcBorders>
            <w:shd w:val="clear" w:color="auto" w:fill="auto"/>
            <w:noWrap/>
            <w:vAlign w:val="bottom"/>
            <w:hideMark/>
          </w:tcPr>
          <w:p w14:paraId="7DF1B05B" w14:textId="77777777" w:rsidR="00DA0B67" w:rsidRPr="00DA0B67" w:rsidRDefault="00DA0B67" w:rsidP="00DA0B67">
            <w:pPr>
              <w:rPr>
                <w:lang w:eastAsia="en-NZ"/>
              </w:rPr>
            </w:pPr>
            <w:r w:rsidRPr="00DA0B67">
              <w:rPr>
                <w:lang w:eastAsia="en-NZ"/>
              </w:rPr>
              <w:t xml:space="preserve"> $ 519.00 </w:t>
            </w:r>
          </w:p>
        </w:tc>
        <w:tc>
          <w:tcPr>
            <w:tcW w:w="1559" w:type="dxa"/>
            <w:tcBorders>
              <w:top w:val="nil"/>
              <w:left w:val="nil"/>
              <w:bottom w:val="single" w:sz="4" w:space="0" w:color="auto"/>
              <w:right w:val="single" w:sz="4" w:space="0" w:color="auto"/>
            </w:tcBorders>
            <w:shd w:val="clear" w:color="auto" w:fill="auto"/>
            <w:noWrap/>
            <w:vAlign w:val="bottom"/>
            <w:hideMark/>
          </w:tcPr>
          <w:p w14:paraId="3C0798E2" w14:textId="77777777" w:rsidR="00DA0B67" w:rsidRPr="00DA0B67" w:rsidRDefault="00DA0B67" w:rsidP="00DA0B67">
            <w:pPr>
              <w:rPr>
                <w:lang w:eastAsia="en-NZ"/>
              </w:rPr>
            </w:pPr>
            <w:r w:rsidRPr="00DA0B67">
              <w:rPr>
                <w:lang w:eastAsia="en-NZ"/>
              </w:rPr>
              <w:t xml:space="preserve"> $ 756.00 </w:t>
            </w:r>
          </w:p>
        </w:tc>
        <w:tc>
          <w:tcPr>
            <w:tcW w:w="1417" w:type="dxa"/>
            <w:tcBorders>
              <w:top w:val="nil"/>
              <w:left w:val="nil"/>
              <w:bottom w:val="single" w:sz="4" w:space="0" w:color="auto"/>
              <w:right w:val="single" w:sz="4" w:space="0" w:color="auto"/>
            </w:tcBorders>
            <w:shd w:val="clear" w:color="auto" w:fill="auto"/>
            <w:noWrap/>
            <w:vAlign w:val="bottom"/>
            <w:hideMark/>
          </w:tcPr>
          <w:p w14:paraId="0A80D977" w14:textId="77777777" w:rsidR="00DA0B67" w:rsidRPr="00DA0B67" w:rsidRDefault="00DA0B67" w:rsidP="00DA0B67">
            <w:pPr>
              <w:rPr>
                <w:lang w:eastAsia="en-NZ"/>
              </w:rPr>
            </w:pPr>
            <w:r w:rsidRPr="00DA0B67">
              <w:rPr>
                <w:lang w:eastAsia="en-NZ"/>
              </w:rPr>
              <w:t xml:space="preserve"> $ 813.00 </w:t>
            </w:r>
          </w:p>
        </w:tc>
        <w:tc>
          <w:tcPr>
            <w:tcW w:w="1418" w:type="dxa"/>
            <w:tcBorders>
              <w:top w:val="nil"/>
              <w:left w:val="nil"/>
              <w:bottom w:val="single" w:sz="4" w:space="0" w:color="auto"/>
              <w:right w:val="single" w:sz="4" w:space="0" w:color="auto"/>
            </w:tcBorders>
            <w:shd w:val="clear" w:color="auto" w:fill="auto"/>
            <w:noWrap/>
            <w:vAlign w:val="bottom"/>
            <w:hideMark/>
          </w:tcPr>
          <w:p w14:paraId="0C236906" w14:textId="77777777" w:rsidR="00DA0B67" w:rsidRPr="00DA0B67" w:rsidRDefault="00DA0B67" w:rsidP="00DA0B67">
            <w:pPr>
              <w:rPr>
                <w:lang w:eastAsia="en-NZ"/>
              </w:rPr>
            </w:pPr>
            <w:r w:rsidRPr="00DA0B67">
              <w:rPr>
                <w:lang w:eastAsia="en-NZ"/>
              </w:rPr>
              <w:t xml:space="preserve"> $ 696.70 </w:t>
            </w:r>
          </w:p>
        </w:tc>
      </w:tr>
      <w:tr w:rsidR="00DA0B67" w:rsidRPr="00DA0B67" w14:paraId="08EBB8B7"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785B3679" w14:textId="77777777" w:rsidR="00DA0B67" w:rsidRPr="00DA0B67" w:rsidRDefault="00DA0B67" w:rsidP="00DA0B67">
            <w:pPr>
              <w:rPr>
                <w:lang w:eastAsia="en-NZ"/>
              </w:rPr>
            </w:pPr>
            <w:r w:rsidRPr="00DA0B67">
              <w:rPr>
                <w:lang w:eastAsia="en-NZ"/>
              </w:rPr>
              <w:t>% change vs. 2018</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E45C6C0" w14:textId="77777777" w:rsidR="00DA0B67" w:rsidRPr="00DA0B67" w:rsidRDefault="00DA0B67" w:rsidP="00DA0B67">
            <w:pPr>
              <w:rPr>
                <w:lang w:eastAsia="en-NZ"/>
              </w:rPr>
            </w:pPr>
            <w:r w:rsidRPr="00DA0B67">
              <w:rPr>
                <w:lang w:eastAsia="en-NZ"/>
              </w:rPr>
              <w:t>2%</w:t>
            </w:r>
          </w:p>
        </w:tc>
        <w:tc>
          <w:tcPr>
            <w:tcW w:w="1791" w:type="dxa"/>
            <w:tcBorders>
              <w:top w:val="nil"/>
              <w:left w:val="nil"/>
              <w:bottom w:val="single" w:sz="4" w:space="0" w:color="auto"/>
              <w:right w:val="single" w:sz="4" w:space="0" w:color="auto"/>
            </w:tcBorders>
            <w:shd w:val="clear" w:color="auto" w:fill="auto"/>
            <w:noWrap/>
            <w:vAlign w:val="bottom"/>
            <w:hideMark/>
          </w:tcPr>
          <w:p w14:paraId="35E6AB43" w14:textId="77777777" w:rsidR="00DA0B67" w:rsidRPr="00DA0B67" w:rsidRDefault="00DA0B67" w:rsidP="00DA0B67">
            <w:pPr>
              <w:rPr>
                <w:lang w:eastAsia="en-NZ"/>
              </w:rPr>
            </w:pPr>
            <w:r w:rsidRPr="00DA0B67">
              <w:rPr>
                <w:lang w:eastAsia="en-NZ"/>
              </w:rPr>
              <w:t>1%</w:t>
            </w:r>
          </w:p>
        </w:tc>
        <w:tc>
          <w:tcPr>
            <w:tcW w:w="1560" w:type="dxa"/>
            <w:tcBorders>
              <w:top w:val="nil"/>
              <w:left w:val="nil"/>
              <w:bottom w:val="single" w:sz="4" w:space="0" w:color="auto"/>
              <w:right w:val="single" w:sz="4" w:space="0" w:color="auto"/>
            </w:tcBorders>
            <w:shd w:val="clear" w:color="auto" w:fill="auto"/>
            <w:noWrap/>
            <w:vAlign w:val="bottom"/>
            <w:hideMark/>
          </w:tcPr>
          <w:p w14:paraId="6D44F850" w14:textId="77777777" w:rsidR="00DA0B67" w:rsidRPr="00DA0B67" w:rsidRDefault="00DA0B67" w:rsidP="00DA0B67">
            <w:pPr>
              <w:rPr>
                <w:lang w:eastAsia="en-NZ"/>
              </w:rPr>
            </w:pPr>
            <w:r w:rsidRPr="00DA0B67">
              <w:rPr>
                <w:lang w:eastAsia="en-NZ"/>
              </w:rPr>
              <w:t>1%</w:t>
            </w:r>
          </w:p>
        </w:tc>
        <w:tc>
          <w:tcPr>
            <w:tcW w:w="1417" w:type="dxa"/>
            <w:tcBorders>
              <w:top w:val="nil"/>
              <w:left w:val="nil"/>
              <w:bottom w:val="single" w:sz="4" w:space="0" w:color="auto"/>
              <w:right w:val="single" w:sz="4" w:space="0" w:color="auto"/>
            </w:tcBorders>
            <w:shd w:val="clear" w:color="auto" w:fill="auto"/>
            <w:noWrap/>
            <w:vAlign w:val="bottom"/>
            <w:hideMark/>
          </w:tcPr>
          <w:p w14:paraId="09F70023" w14:textId="77777777" w:rsidR="00DA0B67" w:rsidRPr="00DA0B67" w:rsidRDefault="00DA0B67" w:rsidP="00DA0B67">
            <w:pPr>
              <w:rPr>
                <w:lang w:eastAsia="en-NZ"/>
              </w:rPr>
            </w:pPr>
            <w:r w:rsidRPr="00DA0B67">
              <w:rPr>
                <w:lang w:eastAsia="en-NZ"/>
              </w:rPr>
              <w:t>2%</w:t>
            </w:r>
          </w:p>
        </w:tc>
        <w:tc>
          <w:tcPr>
            <w:tcW w:w="1418" w:type="dxa"/>
            <w:tcBorders>
              <w:top w:val="nil"/>
              <w:left w:val="nil"/>
              <w:bottom w:val="single" w:sz="4" w:space="0" w:color="auto"/>
              <w:right w:val="single" w:sz="4" w:space="0" w:color="auto"/>
            </w:tcBorders>
            <w:shd w:val="clear" w:color="auto" w:fill="auto"/>
            <w:noWrap/>
            <w:vAlign w:val="bottom"/>
            <w:hideMark/>
          </w:tcPr>
          <w:p w14:paraId="63CD07EB" w14:textId="77777777" w:rsidR="00DA0B67" w:rsidRPr="00DA0B67" w:rsidRDefault="00DA0B67" w:rsidP="00DA0B67">
            <w:pPr>
              <w:rPr>
                <w:lang w:eastAsia="en-NZ"/>
              </w:rPr>
            </w:pPr>
            <w:r w:rsidRPr="00DA0B67">
              <w:rPr>
                <w:lang w:eastAsia="en-NZ"/>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BB5ADF8" w14:textId="77777777" w:rsidR="00DA0B67" w:rsidRPr="00DA0B67" w:rsidRDefault="00DA0B67" w:rsidP="00DA0B67">
            <w:pPr>
              <w:rPr>
                <w:lang w:eastAsia="en-NZ"/>
              </w:rPr>
            </w:pPr>
            <w:r w:rsidRPr="00DA0B67">
              <w:rPr>
                <w:lang w:eastAsia="en-NZ"/>
              </w:rPr>
              <w:t>9%</w:t>
            </w:r>
          </w:p>
        </w:tc>
        <w:tc>
          <w:tcPr>
            <w:tcW w:w="1417" w:type="dxa"/>
            <w:tcBorders>
              <w:top w:val="nil"/>
              <w:left w:val="nil"/>
              <w:bottom w:val="single" w:sz="4" w:space="0" w:color="auto"/>
              <w:right w:val="single" w:sz="4" w:space="0" w:color="auto"/>
            </w:tcBorders>
            <w:shd w:val="clear" w:color="auto" w:fill="auto"/>
            <w:noWrap/>
            <w:vAlign w:val="bottom"/>
            <w:hideMark/>
          </w:tcPr>
          <w:p w14:paraId="13DFD6A4" w14:textId="77777777" w:rsidR="00DA0B67" w:rsidRPr="00DA0B67" w:rsidRDefault="00DA0B67" w:rsidP="00DA0B67">
            <w:pPr>
              <w:rPr>
                <w:lang w:eastAsia="en-NZ"/>
              </w:rPr>
            </w:pPr>
            <w:r w:rsidRPr="00DA0B67">
              <w:rPr>
                <w:lang w:eastAsia="en-NZ"/>
              </w:rPr>
              <w:t>4%</w:t>
            </w:r>
          </w:p>
        </w:tc>
        <w:tc>
          <w:tcPr>
            <w:tcW w:w="1418" w:type="dxa"/>
            <w:tcBorders>
              <w:top w:val="nil"/>
              <w:left w:val="nil"/>
              <w:bottom w:val="single" w:sz="4" w:space="0" w:color="auto"/>
              <w:right w:val="single" w:sz="4" w:space="0" w:color="auto"/>
            </w:tcBorders>
            <w:shd w:val="clear" w:color="auto" w:fill="auto"/>
            <w:noWrap/>
            <w:vAlign w:val="bottom"/>
            <w:hideMark/>
          </w:tcPr>
          <w:p w14:paraId="0D3A195D" w14:textId="77777777" w:rsidR="00DA0B67" w:rsidRPr="00DA0B67" w:rsidRDefault="00DA0B67" w:rsidP="00DA0B67">
            <w:pPr>
              <w:rPr>
                <w:lang w:eastAsia="en-NZ"/>
              </w:rPr>
            </w:pPr>
            <w:r w:rsidRPr="00DA0B67">
              <w:rPr>
                <w:lang w:eastAsia="en-NZ"/>
              </w:rPr>
              <w:t>3%</w:t>
            </w:r>
          </w:p>
        </w:tc>
      </w:tr>
      <w:tr w:rsidR="00DA0B67" w:rsidRPr="00DA0B67" w14:paraId="7D386D39" w14:textId="77777777" w:rsidTr="000974A7">
        <w:trPr>
          <w:trHeight w:val="288"/>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5619F33C" w14:textId="77777777" w:rsidR="00DA0B67" w:rsidRPr="00DA0B67" w:rsidRDefault="00DA0B67" w:rsidP="00DA0B67">
            <w:pPr>
              <w:rPr>
                <w:lang w:eastAsia="en-NZ"/>
              </w:rPr>
            </w:pPr>
            <w:r w:rsidRPr="00DA0B67">
              <w:rPr>
                <w:lang w:eastAsia="en-NZ"/>
              </w:rPr>
              <w:t> </w:t>
            </w:r>
          </w:p>
        </w:tc>
        <w:tc>
          <w:tcPr>
            <w:tcW w:w="1662" w:type="dxa"/>
            <w:tcBorders>
              <w:top w:val="nil"/>
              <w:left w:val="nil"/>
              <w:bottom w:val="single" w:sz="4" w:space="0" w:color="auto"/>
              <w:right w:val="single" w:sz="4" w:space="0" w:color="auto"/>
            </w:tcBorders>
            <w:shd w:val="clear" w:color="auto" w:fill="auto"/>
            <w:noWrap/>
            <w:vAlign w:val="bottom"/>
            <w:hideMark/>
          </w:tcPr>
          <w:p w14:paraId="3C952BD3" w14:textId="77777777" w:rsidR="00DA0B67" w:rsidRPr="00DA0B67" w:rsidRDefault="00DA0B67" w:rsidP="00DA0B67">
            <w:pPr>
              <w:rPr>
                <w:lang w:eastAsia="en-NZ"/>
              </w:rPr>
            </w:pPr>
            <w:r w:rsidRPr="00DA0B67">
              <w:rPr>
                <w:lang w:eastAsia="en-NZ"/>
              </w:rPr>
              <w:t> </w:t>
            </w:r>
          </w:p>
        </w:tc>
        <w:tc>
          <w:tcPr>
            <w:tcW w:w="1791" w:type="dxa"/>
            <w:tcBorders>
              <w:top w:val="nil"/>
              <w:left w:val="nil"/>
              <w:bottom w:val="single" w:sz="4" w:space="0" w:color="auto"/>
              <w:right w:val="single" w:sz="4" w:space="0" w:color="auto"/>
            </w:tcBorders>
            <w:shd w:val="clear" w:color="auto" w:fill="auto"/>
            <w:noWrap/>
            <w:vAlign w:val="bottom"/>
            <w:hideMark/>
          </w:tcPr>
          <w:p w14:paraId="41BF0E20" w14:textId="77777777" w:rsidR="00DA0B67" w:rsidRPr="00DA0B67" w:rsidRDefault="00DA0B67" w:rsidP="00DA0B67">
            <w:pPr>
              <w:rPr>
                <w:lang w:eastAsia="en-NZ"/>
              </w:rPr>
            </w:pPr>
            <w:r w:rsidRPr="00DA0B67">
              <w:rPr>
                <w:lang w:eastAsia="en-NZ"/>
              </w:rPr>
              <w:t> </w:t>
            </w:r>
          </w:p>
        </w:tc>
        <w:tc>
          <w:tcPr>
            <w:tcW w:w="1560" w:type="dxa"/>
            <w:tcBorders>
              <w:top w:val="nil"/>
              <w:left w:val="nil"/>
              <w:bottom w:val="single" w:sz="4" w:space="0" w:color="auto"/>
              <w:right w:val="single" w:sz="4" w:space="0" w:color="auto"/>
            </w:tcBorders>
            <w:shd w:val="clear" w:color="auto" w:fill="auto"/>
            <w:noWrap/>
            <w:vAlign w:val="bottom"/>
            <w:hideMark/>
          </w:tcPr>
          <w:p w14:paraId="598DBE9C"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D65079"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D9F7B8" w14:textId="77777777" w:rsidR="00DA0B67" w:rsidRPr="00DA0B67" w:rsidRDefault="00DA0B67" w:rsidP="00DA0B67">
            <w:pPr>
              <w:rPr>
                <w:lang w:eastAsia="en-NZ"/>
              </w:rPr>
            </w:pPr>
            <w:r w:rsidRPr="00DA0B67">
              <w:rPr>
                <w:lang w:eastAsia="en-NZ"/>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010570" w14:textId="77777777" w:rsidR="00DA0B67" w:rsidRPr="00DA0B67" w:rsidRDefault="00DA0B67" w:rsidP="00DA0B67">
            <w:pPr>
              <w:rPr>
                <w:lang w:eastAsia="en-NZ"/>
              </w:rPr>
            </w:pPr>
            <w:r w:rsidRPr="00DA0B67">
              <w:rPr>
                <w:lang w:eastAsia="en-NZ"/>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3A9159" w14:textId="77777777" w:rsidR="00DA0B67" w:rsidRPr="00DA0B67" w:rsidRDefault="00DA0B67" w:rsidP="00DA0B67">
            <w:pPr>
              <w:rPr>
                <w:lang w:eastAsia="en-NZ"/>
              </w:rPr>
            </w:pPr>
            <w:r w:rsidRPr="00DA0B67">
              <w:rPr>
                <w:lang w:eastAsia="en-NZ"/>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E6E051" w14:textId="77777777" w:rsidR="00DA0B67" w:rsidRPr="00DA0B67" w:rsidRDefault="00DA0B67" w:rsidP="00DA0B67">
            <w:pPr>
              <w:rPr>
                <w:lang w:eastAsia="en-NZ"/>
              </w:rPr>
            </w:pPr>
            <w:r w:rsidRPr="00DA0B67">
              <w:rPr>
                <w:lang w:eastAsia="en-NZ"/>
              </w:rPr>
              <w:t> </w:t>
            </w:r>
          </w:p>
        </w:tc>
      </w:tr>
    </w:tbl>
    <w:p w14:paraId="40B18DF8" w14:textId="7C23506F" w:rsidR="000974A7" w:rsidRPr="000974A7" w:rsidRDefault="000974A7" w:rsidP="000974A7">
      <w:r>
        <w:t>*</w:t>
      </w:r>
      <w:r w:rsidRPr="00DA0B67">
        <w:rPr>
          <w:lang w:eastAsia="en-NZ"/>
        </w:rPr>
        <w:t>based on full time study (120 points)</w:t>
      </w:r>
    </w:p>
    <w:p w14:paraId="739639DF" w14:textId="23885856" w:rsidR="008A4FA6" w:rsidRPr="000974A7" w:rsidRDefault="008A4FA6" w:rsidP="000E6AD4"/>
    <w:sectPr w:rsidR="008A4FA6" w:rsidRPr="000974A7" w:rsidSect="00DA0B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F294F"/>
    <w:multiLevelType w:val="hybridMultilevel"/>
    <w:tmpl w:val="06DA4630"/>
    <w:lvl w:ilvl="0" w:tplc="08E81B18">
      <w:start w:val="1"/>
      <w:numFmt w:val="bullet"/>
      <w:lvlText w:val="•"/>
      <w:lvlJc w:val="left"/>
      <w:pPr>
        <w:ind w:left="1140" w:hanging="720"/>
      </w:pPr>
      <w:rPr>
        <w:rFonts w:ascii="Tahoma" w:eastAsia="Tahoma" w:hAnsi="Tahoma" w:hint="default"/>
        <w:w w:val="70"/>
        <w:sz w:val="22"/>
        <w:szCs w:val="22"/>
      </w:rPr>
    </w:lvl>
    <w:lvl w:ilvl="1" w:tplc="AAB200B0">
      <w:start w:val="1"/>
      <w:numFmt w:val="bullet"/>
      <w:lvlText w:val="•"/>
      <w:lvlJc w:val="left"/>
      <w:pPr>
        <w:ind w:left="1541" w:hanging="720"/>
      </w:pPr>
      <w:rPr>
        <w:rFonts w:hint="default"/>
      </w:rPr>
    </w:lvl>
    <w:lvl w:ilvl="2" w:tplc="9E129B10">
      <w:start w:val="1"/>
      <w:numFmt w:val="bullet"/>
      <w:lvlText w:val="•"/>
      <w:lvlJc w:val="left"/>
      <w:pPr>
        <w:ind w:left="1941" w:hanging="720"/>
      </w:pPr>
      <w:rPr>
        <w:rFonts w:hint="default"/>
      </w:rPr>
    </w:lvl>
    <w:lvl w:ilvl="3" w:tplc="5036B080">
      <w:start w:val="1"/>
      <w:numFmt w:val="bullet"/>
      <w:lvlText w:val="•"/>
      <w:lvlJc w:val="left"/>
      <w:pPr>
        <w:ind w:left="2341" w:hanging="720"/>
      </w:pPr>
      <w:rPr>
        <w:rFonts w:hint="default"/>
      </w:rPr>
    </w:lvl>
    <w:lvl w:ilvl="4" w:tplc="A0F45024">
      <w:start w:val="1"/>
      <w:numFmt w:val="bullet"/>
      <w:lvlText w:val="•"/>
      <w:lvlJc w:val="left"/>
      <w:pPr>
        <w:ind w:left="2742" w:hanging="720"/>
      </w:pPr>
      <w:rPr>
        <w:rFonts w:hint="default"/>
      </w:rPr>
    </w:lvl>
    <w:lvl w:ilvl="5" w:tplc="C53AEB2A">
      <w:start w:val="1"/>
      <w:numFmt w:val="bullet"/>
      <w:lvlText w:val="•"/>
      <w:lvlJc w:val="left"/>
      <w:pPr>
        <w:ind w:left="3142" w:hanging="720"/>
      </w:pPr>
      <w:rPr>
        <w:rFonts w:hint="default"/>
      </w:rPr>
    </w:lvl>
    <w:lvl w:ilvl="6" w:tplc="57DAAC38">
      <w:start w:val="1"/>
      <w:numFmt w:val="bullet"/>
      <w:lvlText w:val="•"/>
      <w:lvlJc w:val="left"/>
      <w:pPr>
        <w:ind w:left="3542" w:hanging="720"/>
      </w:pPr>
      <w:rPr>
        <w:rFonts w:hint="default"/>
      </w:rPr>
    </w:lvl>
    <w:lvl w:ilvl="7" w:tplc="717C0314">
      <w:start w:val="1"/>
      <w:numFmt w:val="bullet"/>
      <w:lvlText w:val="•"/>
      <w:lvlJc w:val="left"/>
      <w:pPr>
        <w:ind w:left="3943" w:hanging="720"/>
      </w:pPr>
      <w:rPr>
        <w:rFonts w:hint="default"/>
      </w:rPr>
    </w:lvl>
    <w:lvl w:ilvl="8" w:tplc="729EB984">
      <w:start w:val="1"/>
      <w:numFmt w:val="bullet"/>
      <w:lvlText w:val="•"/>
      <w:lvlJc w:val="left"/>
      <w:pPr>
        <w:ind w:left="434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D4"/>
    <w:rsid w:val="000974A7"/>
    <w:rsid w:val="000E6AD4"/>
    <w:rsid w:val="00113C13"/>
    <w:rsid w:val="00262318"/>
    <w:rsid w:val="00273070"/>
    <w:rsid w:val="0037180B"/>
    <w:rsid w:val="00390D0A"/>
    <w:rsid w:val="00407416"/>
    <w:rsid w:val="00516968"/>
    <w:rsid w:val="00551030"/>
    <w:rsid w:val="005979FD"/>
    <w:rsid w:val="006707A4"/>
    <w:rsid w:val="006A2427"/>
    <w:rsid w:val="00705D27"/>
    <w:rsid w:val="007F01A7"/>
    <w:rsid w:val="00837D80"/>
    <w:rsid w:val="008448B1"/>
    <w:rsid w:val="008716CE"/>
    <w:rsid w:val="00884DF0"/>
    <w:rsid w:val="008A4FA6"/>
    <w:rsid w:val="00913835"/>
    <w:rsid w:val="00967EC9"/>
    <w:rsid w:val="00B152C6"/>
    <w:rsid w:val="00B214E0"/>
    <w:rsid w:val="00D51D3C"/>
    <w:rsid w:val="00DA0B67"/>
    <w:rsid w:val="00E53633"/>
    <w:rsid w:val="00F212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200C"/>
  <w15:chartTrackingRefBased/>
  <w15:docId w15:val="{C9B1A75D-79C9-48F5-90F8-0752DFD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B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0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FD"/>
    <w:rPr>
      <w:color w:val="0563C1" w:themeColor="hyperlink"/>
      <w:u w:val="single"/>
    </w:rPr>
  </w:style>
  <w:style w:type="paragraph" w:styleId="BalloonText">
    <w:name w:val="Balloon Text"/>
    <w:basedOn w:val="Normal"/>
    <w:link w:val="BalloonTextChar"/>
    <w:uiPriority w:val="99"/>
    <w:semiHidden/>
    <w:unhideWhenUsed/>
    <w:rsid w:val="0026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318"/>
    <w:rPr>
      <w:rFonts w:ascii="Segoe UI" w:hAnsi="Segoe UI" w:cs="Segoe UI"/>
      <w:sz w:val="18"/>
      <w:szCs w:val="18"/>
    </w:rPr>
  </w:style>
  <w:style w:type="character" w:styleId="CommentReference">
    <w:name w:val="annotation reference"/>
    <w:basedOn w:val="DefaultParagraphFont"/>
    <w:uiPriority w:val="99"/>
    <w:semiHidden/>
    <w:unhideWhenUsed/>
    <w:rsid w:val="00B214E0"/>
    <w:rPr>
      <w:sz w:val="16"/>
      <w:szCs w:val="16"/>
    </w:rPr>
  </w:style>
  <w:style w:type="paragraph" w:styleId="CommentText">
    <w:name w:val="annotation text"/>
    <w:basedOn w:val="Normal"/>
    <w:link w:val="CommentTextChar"/>
    <w:uiPriority w:val="99"/>
    <w:semiHidden/>
    <w:unhideWhenUsed/>
    <w:rsid w:val="00B214E0"/>
    <w:pPr>
      <w:spacing w:line="240" w:lineRule="auto"/>
    </w:pPr>
    <w:rPr>
      <w:sz w:val="20"/>
      <w:szCs w:val="20"/>
    </w:rPr>
  </w:style>
  <w:style w:type="character" w:customStyle="1" w:styleId="CommentTextChar">
    <w:name w:val="Comment Text Char"/>
    <w:basedOn w:val="DefaultParagraphFont"/>
    <w:link w:val="CommentText"/>
    <w:uiPriority w:val="99"/>
    <w:semiHidden/>
    <w:rsid w:val="00B214E0"/>
    <w:rPr>
      <w:sz w:val="20"/>
      <w:szCs w:val="20"/>
    </w:rPr>
  </w:style>
  <w:style w:type="paragraph" w:styleId="CommentSubject">
    <w:name w:val="annotation subject"/>
    <w:basedOn w:val="CommentText"/>
    <w:next w:val="CommentText"/>
    <w:link w:val="CommentSubjectChar"/>
    <w:uiPriority w:val="99"/>
    <w:semiHidden/>
    <w:unhideWhenUsed/>
    <w:rsid w:val="00B214E0"/>
    <w:rPr>
      <w:b/>
      <w:bCs/>
    </w:rPr>
  </w:style>
  <w:style w:type="character" w:customStyle="1" w:styleId="CommentSubjectChar">
    <w:name w:val="Comment Subject Char"/>
    <w:basedOn w:val="CommentTextChar"/>
    <w:link w:val="CommentSubject"/>
    <w:uiPriority w:val="99"/>
    <w:semiHidden/>
    <w:rsid w:val="00B214E0"/>
    <w:rPr>
      <w:b/>
      <w:bCs/>
      <w:sz w:val="20"/>
      <w:szCs w:val="20"/>
    </w:rPr>
  </w:style>
  <w:style w:type="table" w:styleId="TableGrid">
    <w:name w:val="Table Grid"/>
    <w:basedOn w:val="TableNormal"/>
    <w:uiPriority w:val="39"/>
    <w:rsid w:val="00DA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0B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0B6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A0B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B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8375">
      <w:bodyDiv w:val="1"/>
      <w:marLeft w:val="0"/>
      <w:marRight w:val="0"/>
      <w:marTop w:val="0"/>
      <w:marBottom w:val="0"/>
      <w:divBdr>
        <w:top w:val="none" w:sz="0" w:space="0" w:color="auto"/>
        <w:left w:val="none" w:sz="0" w:space="0" w:color="auto"/>
        <w:bottom w:val="none" w:sz="0" w:space="0" w:color="auto"/>
        <w:right w:val="none" w:sz="0" w:space="0" w:color="auto"/>
      </w:divBdr>
    </w:div>
    <w:div w:id="677923331">
      <w:bodyDiv w:val="1"/>
      <w:marLeft w:val="0"/>
      <w:marRight w:val="0"/>
      <w:marTop w:val="0"/>
      <w:marBottom w:val="0"/>
      <w:divBdr>
        <w:top w:val="none" w:sz="0" w:space="0" w:color="auto"/>
        <w:left w:val="none" w:sz="0" w:space="0" w:color="auto"/>
        <w:bottom w:val="none" w:sz="0" w:space="0" w:color="auto"/>
        <w:right w:val="none" w:sz="0" w:space="0" w:color="auto"/>
      </w:divBdr>
    </w:div>
    <w:div w:id="738668902">
      <w:bodyDiv w:val="1"/>
      <w:marLeft w:val="0"/>
      <w:marRight w:val="0"/>
      <w:marTop w:val="0"/>
      <w:marBottom w:val="0"/>
      <w:divBdr>
        <w:top w:val="none" w:sz="0" w:space="0" w:color="auto"/>
        <w:left w:val="none" w:sz="0" w:space="0" w:color="auto"/>
        <w:bottom w:val="none" w:sz="0" w:space="0" w:color="auto"/>
        <w:right w:val="none" w:sz="0" w:space="0" w:color="auto"/>
      </w:divBdr>
    </w:div>
    <w:div w:id="817913890">
      <w:bodyDiv w:val="1"/>
      <w:marLeft w:val="0"/>
      <w:marRight w:val="0"/>
      <w:marTop w:val="0"/>
      <w:marBottom w:val="0"/>
      <w:divBdr>
        <w:top w:val="none" w:sz="0" w:space="0" w:color="auto"/>
        <w:left w:val="none" w:sz="0" w:space="0" w:color="auto"/>
        <w:bottom w:val="none" w:sz="0" w:space="0" w:color="auto"/>
        <w:right w:val="none" w:sz="0" w:space="0" w:color="auto"/>
      </w:divBdr>
    </w:div>
    <w:div w:id="1600288842">
      <w:bodyDiv w:val="1"/>
      <w:marLeft w:val="0"/>
      <w:marRight w:val="0"/>
      <w:marTop w:val="0"/>
      <w:marBottom w:val="0"/>
      <w:divBdr>
        <w:top w:val="none" w:sz="0" w:space="0" w:color="auto"/>
        <w:left w:val="none" w:sz="0" w:space="0" w:color="auto"/>
        <w:bottom w:val="none" w:sz="0" w:space="0" w:color="auto"/>
        <w:right w:val="none" w:sz="0" w:space="0" w:color="auto"/>
      </w:divBdr>
    </w:div>
    <w:div w:id="1711685467">
      <w:bodyDiv w:val="1"/>
      <w:marLeft w:val="0"/>
      <w:marRight w:val="0"/>
      <w:marTop w:val="0"/>
      <w:marBottom w:val="0"/>
      <w:divBdr>
        <w:top w:val="none" w:sz="0" w:space="0" w:color="auto"/>
        <w:left w:val="none" w:sz="0" w:space="0" w:color="auto"/>
        <w:bottom w:val="none" w:sz="0" w:space="0" w:color="auto"/>
        <w:right w:val="none" w:sz="0" w:space="0" w:color="auto"/>
      </w:divBdr>
    </w:div>
    <w:div w:id="1762985688">
      <w:bodyDiv w:val="1"/>
      <w:marLeft w:val="0"/>
      <w:marRight w:val="0"/>
      <w:marTop w:val="0"/>
      <w:marBottom w:val="0"/>
      <w:divBdr>
        <w:top w:val="none" w:sz="0" w:space="0" w:color="auto"/>
        <w:left w:val="none" w:sz="0" w:space="0" w:color="auto"/>
        <w:bottom w:val="none" w:sz="0" w:space="0" w:color="auto"/>
        <w:right w:val="none" w:sz="0" w:space="0" w:color="auto"/>
      </w:divBdr>
    </w:div>
    <w:div w:id="1828285687">
      <w:bodyDiv w:val="1"/>
      <w:marLeft w:val="0"/>
      <w:marRight w:val="0"/>
      <w:marTop w:val="0"/>
      <w:marBottom w:val="0"/>
      <w:divBdr>
        <w:top w:val="none" w:sz="0" w:space="0" w:color="auto"/>
        <w:left w:val="none" w:sz="0" w:space="0" w:color="auto"/>
        <w:bottom w:val="none" w:sz="0" w:space="0" w:color="auto"/>
        <w:right w:val="none" w:sz="0" w:space="0" w:color="auto"/>
      </w:divBdr>
    </w:div>
    <w:div w:id="1889563596">
      <w:bodyDiv w:val="1"/>
      <w:marLeft w:val="0"/>
      <w:marRight w:val="0"/>
      <w:marTop w:val="0"/>
      <w:marBottom w:val="0"/>
      <w:divBdr>
        <w:top w:val="none" w:sz="0" w:space="0" w:color="auto"/>
        <w:left w:val="none" w:sz="0" w:space="0" w:color="auto"/>
        <w:bottom w:val="none" w:sz="0" w:space="0" w:color="auto"/>
        <w:right w:val="none" w:sz="0" w:space="0" w:color="auto"/>
      </w:divBdr>
    </w:div>
    <w:div w:id="18899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ac.nz/future-students/fees-and-funding/student-services-levy/" TargetMode="External"/><Relationship Id="rId13" Type="http://schemas.openxmlformats.org/officeDocument/2006/relationships/hyperlink" Target="http://www.victoria.ac.nz/students/money/fees/student-services-levy-faqs" TargetMode="External"/><Relationship Id="rId3" Type="http://schemas.openxmlformats.org/officeDocument/2006/relationships/styles" Target="styles.xml"/><Relationship Id="rId7" Type="http://schemas.openxmlformats.org/officeDocument/2006/relationships/hyperlink" Target="file:///\\safileserver\sa_shared\Campus%20Life\Student%20Engagement\Student%20Representation%20and%20Consultation\Student%20Levy\2019\www.auckland.ac.nz\levy." TargetMode="External"/><Relationship Id="rId12" Type="http://schemas.openxmlformats.org/officeDocument/2006/relationships/hyperlink" Target="https://calendar.waikato.ac.nz/admission/tableoffeesandcharg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uckland.ac.nz/en/about-us/about-the-university/the-university/governance-and-committees/committees/a-z-committees/student-consulative-group.html" TargetMode="External"/><Relationship Id="rId11" Type="http://schemas.openxmlformats.org/officeDocument/2006/relationships/hyperlink" Target="http://www.otago.ac.nz/studentservices/otago626140.html" TargetMode="External"/><Relationship Id="rId5" Type="http://schemas.openxmlformats.org/officeDocument/2006/relationships/webSettings" Target="webSettings.xml"/><Relationship Id="rId15" Type="http://schemas.openxmlformats.org/officeDocument/2006/relationships/hyperlink" Target="http://www.aut.ac.nz/study-at-aut/fees-scholarships-and-finance/fees/international-fees/learner-services-levy" TargetMode="External"/><Relationship Id="rId10" Type="http://schemas.openxmlformats.org/officeDocument/2006/relationships/hyperlink" Target="http://www.massey.ac.nz/massey/admission/fees/non-tuition-fees/2017-non-tuition-fees.cfm" TargetMode="External"/><Relationship Id="rId4" Type="http://schemas.openxmlformats.org/officeDocument/2006/relationships/settings" Target="settings.xml"/><Relationship Id="rId9" Type="http://schemas.openxmlformats.org/officeDocument/2006/relationships/hyperlink" Target="http://www.massey.ac.nz/massey/admission/fees/non-tuition-fees/2017-non-tuition-fees.cfm" TargetMode="External"/><Relationship Id="rId14" Type="http://schemas.openxmlformats.org/officeDocument/2006/relationships/hyperlink" Target="https://www.auckland.ac.nz/en/study/fees-and-money-matters/tuition-fees/css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2084-9F01-4C8D-8279-1EA88133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Skipper</dc:creator>
  <cp:keywords/>
  <dc:description/>
  <cp:lastModifiedBy>Kate Russell</cp:lastModifiedBy>
  <cp:revision>2</cp:revision>
  <dcterms:created xsi:type="dcterms:W3CDTF">2019-07-03T20:43:00Z</dcterms:created>
  <dcterms:modified xsi:type="dcterms:W3CDTF">2019-07-03T20:43:00Z</dcterms:modified>
</cp:coreProperties>
</file>